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B6B06F" w14:textId="77777777" w:rsidR="00BD7EB1" w:rsidRDefault="00757EEA">
      <w:pPr>
        <w:spacing w:after="160" w:line="360" w:lineRule="auto"/>
        <w:jc w:val="both"/>
        <w:rPr>
          <w:rFonts w:ascii="Century Gothic" w:eastAsia="Century Gothic" w:hAnsi="Century Gothic" w:cs="Century Gothic"/>
          <w:b/>
          <w:bCs/>
        </w:rPr>
      </w:pPr>
      <w:r>
        <w:rPr>
          <w:rFonts w:ascii="Century Gothic" w:eastAsia="Century Gothic" w:hAnsi="Century Gothic" w:cs="Century Gothic"/>
          <w:b/>
          <w:bCs/>
        </w:rPr>
        <w:t>FOR IMMEDIATE RELEASE</w:t>
      </w:r>
    </w:p>
    <w:p w14:paraId="459B73CE" w14:textId="3DDD14B9" w:rsidR="00BD7EB1" w:rsidRDefault="00757EEA">
      <w:pPr>
        <w:spacing w:before="240" w:after="240" w:line="360" w:lineRule="auto"/>
        <w:jc w:val="both"/>
        <w:rPr>
          <w:rFonts w:ascii="Century Gothic" w:eastAsia="Century Gothic" w:hAnsi="Century Gothic" w:cs="Century Gothic"/>
          <w:b/>
          <w:bCs/>
        </w:rPr>
      </w:pPr>
      <w:r>
        <w:rPr>
          <w:rFonts w:ascii="Century Gothic" w:eastAsia="Century Gothic" w:hAnsi="Century Gothic" w:cs="Century Gothic"/>
          <w:b/>
          <w:bCs/>
        </w:rPr>
        <w:t>NCBA</w:t>
      </w:r>
      <w:r w:rsidR="00E601BF">
        <w:rPr>
          <w:rFonts w:ascii="Century Gothic" w:eastAsia="Century Gothic" w:hAnsi="Century Gothic" w:cs="Century Gothic"/>
          <w:b/>
          <w:bCs/>
        </w:rPr>
        <w:t xml:space="preserve"> ELEVATES SME GROWTH</w:t>
      </w:r>
      <w:r w:rsidR="00EA7D43">
        <w:rPr>
          <w:rFonts w:ascii="Century Gothic" w:eastAsia="Century Gothic" w:hAnsi="Century Gothic" w:cs="Century Gothic"/>
          <w:b/>
          <w:bCs/>
        </w:rPr>
        <w:t xml:space="preserve"> THROUG</w:t>
      </w:r>
      <w:r w:rsidR="00E8584F">
        <w:rPr>
          <w:rFonts w:ascii="Century Gothic" w:eastAsia="Century Gothic" w:hAnsi="Century Gothic" w:cs="Century Gothic"/>
          <w:b/>
          <w:bCs/>
        </w:rPr>
        <w:t>H THE</w:t>
      </w:r>
      <w:r w:rsidR="0086728F">
        <w:rPr>
          <w:rFonts w:ascii="Century Gothic" w:eastAsia="Century Gothic" w:hAnsi="Century Gothic" w:cs="Century Gothic"/>
          <w:b/>
          <w:bCs/>
        </w:rPr>
        <w:t xml:space="preserve"> GRADUATION OF THE</w:t>
      </w:r>
      <w:r w:rsidR="00E8584F">
        <w:rPr>
          <w:rFonts w:ascii="Century Gothic" w:eastAsia="Century Gothic" w:hAnsi="Century Gothic" w:cs="Century Gothic"/>
          <w:b/>
          <w:bCs/>
        </w:rPr>
        <w:t xml:space="preserve"> 2025 </w:t>
      </w:r>
      <w:r w:rsidR="00C6296C">
        <w:rPr>
          <w:rFonts w:ascii="Century Gothic" w:eastAsia="Century Gothic" w:hAnsi="Century Gothic" w:cs="Century Gothic"/>
          <w:b/>
          <w:bCs/>
        </w:rPr>
        <w:t xml:space="preserve">COHORT FOR THE </w:t>
      </w:r>
      <w:r w:rsidR="006B6538">
        <w:rPr>
          <w:rFonts w:ascii="Century Gothic" w:eastAsia="Century Gothic" w:hAnsi="Century Gothic" w:cs="Century Gothic"/>
          <w:b/>
          <w:bCs/>
        </w:rPr>
        <w:t xml:space="preserve">STRATHMORE BUSINESS SCHOOL </w:t>
      </w:r>
      <w:r w:rsidR="00667C3D">
        <w:rPr>
          <w:rFonts w:ascii="Century Gothic" w:eastAsia="Century Gothic" w:hAnsi="Century Gothic" w:cs="Century Gothic"/>
          <w:b/>
          <w:bCs/>
        </w:rPr>
        <w:t>ENTERPRISE DEVEL</w:t>
      </w:r>
      <w:r w:rsidR="00585E67">
        <w:rPr>
          <w:rFonts w:ascii="Century Gothic" w:eastAsia="Century Gothic" w:hAnsi="Century Gothic" w:cs="Century Gothic"/>
          <w:b/>
          <w:bCs/>
        </w:rPr>
        <w:t>OP</w:t>
      </w:r>
      <w:r w:rsidR="00667C3D">
        <w:rPr>
          <w:rFonts w:ascii="Century Gothic" w:eastAsia="Century Gothic" w:hAnsi="Century Gothic" w:cs="Century Gothic"/>
          <w:b/>
          <w:bCs/>
        </w:rPr>
        <w:t>MENT</w:t>
      </w:r>
      <w:r w:rsidR="006B6538">
        <w:rPr>
          <w:rFonts w:ascii="Century Gothic" w:eastAsia="Century Gothic" w:hAnsi="Century Gothic" w:cs="Century Gothic"/>
          <w:b/>
          <w:bCs/>
        </w:rPr>
        <w:t xml:space="preserve"> PR</w:t>
      </w:r>
      <w:r w:rsidR="00944E03">
        <w:rPr>
          <w:rFonts w:ascii="Century Gothic" w:eastAsia="Century Gothic" w:hAnsi="Century Gothic" w:cs="Century Gothic"/>
          <w:b/>
          <w:bCs/>
        </w:rPr>
        <w:t>O</w:t>
      </w:r>
      <w:r w:rsidR="006B6538">
        <w:rPr>
          <w:rFonts w:ascii="Century Gothic" w:eastAsia="Century Gothic" w:hAnsi="Century Gothic" w:cs="Century Gothic"/>
          <w:b/>
          <w:bCs/>
        </w:rPr>
        <w:t>GRAMME</w:t>
      </w:r>
      <w:r>
        <w:rPr>
          <w:rFonts w:ascii="Century Gothic" w:eastAsia="Century Gothic" w:hAnsi="Century Gothic" w:cs="Century Gothic"/>
          <w:b/>
          <w:bCs/>
        </w:rPr>
        <w:t xml:space="preserve"> </w:t>
      </w:r>
    </w:p>
    <w:p w14:paraId="77B68BBC" w14:textId="55AAEF6F" w:rsidR="00BD7EB1" w:rsidRDefault="00757EEA">
      <w:pPr>
        <w:spacing w:before="240" w:after="240" w:line="360" w:lineRule="auto"/>
        <w:jc w:val="both"/>
        <w:rPr>
          <w:rFonts w:ascii="Century Gothic" w:eastAsia="Century Gothic" w:hAnsi="Century Gothic" w:cs="Century Gothic"/>
        </w:rPr>
      </w:pPr>
      <w:r>
        <w:rPr>
          <w:rFonts w:ascii="Century Gothic" w:eastAsia="Century Gothic" w:hAnsi="Century Gothic" w:cs="Century Gothic"/>
          <w:b/>
          <w:bCs/>
        </w:rPr>
        <w:t xml:space="preserve">NAIROBI, Kenya - 28th November 2025. </w:t>
      </w:r>
      <w:r>
        <w:rPr>
          <w:rFonts w:ascii="Century Gothic" w:eastAsia="Century Gothic" w:hAnsi="Century Gothic" w:cs="Century Gothic"/>
        </w:rPr>
        <w:t xml:space="preserve">NCBA </w:t>
      </w:r>
      <w:r w:rsidR="009C77AD">
        <w:rPr>
          <w:rFonts w:ascii="Century Gothic" w:eastAsia="Century Gothic" w:hAnsi="Century Gothic" w:cs="Century Gothic"/>
        </w:rPr>
        <w:t xml:space="preserve">has reinforced its commitment to elevating and empowering </w:t>
      </w:r>
      <w:r w:rsidR="00BD3DAA">
        <w:rPr>
          <w:rFonts w:ascii="Century Gothic" w:eastAsia="Century Gothic" w:hAnsi="Century Gothic" w:cs="Century Gothic"/>
        </w:rPr>
        <w:t xml:space="preserve">Kenya’s SME Sector as it celebrated </w:t>
      </w:r>
      <w:r>
        <w:rPr>
          <w:rFonts w:ascii="Century Gothic" w:eastAsia="Century Gothic" w:hAnsi="Century Gothic" w:cs="Century Gothic"/>
        </w:rPr>
        <w:t xml:space="preserve">a new cohort of </w:t>
      </w:r>
      <w:r w:rsidR="00C6296C">
        <w:rPr>
          <w:rFonts w:ascii="Century Gothic" w:eastAsia="Century Gothic" w:hAnsi="Century Gothic" w:cs="Century Gothic"/>
        </w:rPr>
        <w:t>2</w:t>
      </w:r>
      <w:r w:rsidR="00E90158">
        <w:rPr>
          <w:rFonts w:ascii="Century Gothic" w:eastAsia="Century Gothic" w:hAnsi="Century Gothic" w:cs="Century Gothic"/>
        </w:rPr>
        <w:t>4</w:t>
      </w:r>
      <w:r w:rsidR="00C6296C">
        <w:rPr>
          <w:rFonts w:ascii="Century Gothic" w:eastAsia="Century Gothic" w:hAnsi="Century Gothic" w:cs="Century Gothic"/>
        </w:rPr>
        <w:t xml:space="preserve"> </w:t>
      </w:r>
      <w:r>
        <w:rPr>
          <w:rFonts w:ascii="Century Gothic" w:eastAsia="Century Gothic" w:hAnsi="Century Gothic" w:cs="Century Gothic"/>
        </w:rPr>
        <w:t xml:space="preserve">SME </w:t>
      </w:r>
      <w:r w:rsidR="00BD3DAA">
        <w:rPr>
          <w:rFonts w:ascii="Century Gothic" w:eastAsia="Century Gothic" w:hAnsi="Century Gothic" w:cs="Century Gothic"/>
        </w:rPr>
        <w:t>customers,</w:t>
      </w:r>
      <w:r>
        <w:rPr>
          <w:rFonts w:ascii="Century Gothic" w:eastAsia="Century Gothic" w:hAnsi="Century Gothic" w:cs="Century Gothic"/>
        </w:rPr>
        <w:t xml:space="preserve"> who successfully completed the </w:t>
      </w:r>
      <w:r w:rsidR="00205258">
        <w:rPr>
          <w:rFonts w:ascii="Century Gothic" w:eastAsia="Century Gothic" w:hAnsi="Century Gothic" w:cs="Century Gothic"/>
        </w:rPr>
        <w:t xml:space="preserve">Strathmore Business School </w:t>
      </w:r>
      <w:r>
        <w:rPr>
          <w:rFonts w:ascii="Century Gothic" w:eastAsia="Century Gothic" w:hAnsi="Century Gothic" w:cs="Century Gothic"/>
        </w:rPr>
        <w:t xml:space="preserve">Enterprise Development Programme. </w:t>
      </w:r>
    </w:p>
    <w:p w14:paraId="311BACB3" w14:textId="77777777" w:rsidR="00BD7EB1" w:rsidRDefault="00757EEA">
      <w:pPr>
        <w:spacing w:before="240" w:after="240" w:line="360" w:lineRule="auto"/>
        <w:jc w:val="both"/>
        <w:rPr>
          <w:rFonts w:ascii="Century Gothic" w:eastAsia="Century Gothic" w:hAnsi="Century Gothic" w:cs="Century Gothic"/>
        </w:rPr>
      </w:pPr>
      <w:r>
        <w:rPr>
          <w:rFonts w:ascii="Century Gothic" w:eastAsia="Century Gothic" w:hAnsi="Century Gothic" w:cs="Century Gothic"/>
        </w:rPr>
        <w:t>This year’s class brings together business owners from key sectors of the economy. They include manufacturing, retail, agribusiness, construction, logistics and professional services. The programme continues to attract ambitious entrepreneurs who are keen to strengthen their leadership and scale their businesses sustainably.</w:t>
      </w:r>
    </w:p>
    <w:p w14:paraId="0DBD1D2E" w14:textId="77777777" w:rsidR="00BD7EB1" w:rsidRDefault="00757EEA">
      <w:pPr>
        <w:spacing w:before="240" w:after="240" w:line="360" w:lineRule="auto"/>
        <w:jc w:val="both"/>
        <w:rPr>
          <w:rFonts w:ascii="Century Gothic" w:eastAsia="Century Gothic" w:hAnsi="Century Gothic" w:cs="Century Gothic"/>
        </w:rPr>
      </w:pPr>
      <w:r>
        <w:rPr>
          <w:rFonts w:ascii="Century Gothic" w:eastAsia="Century Gothic" w:hAnsi="Century Gothic" w:cs="Century Gothic"/>
        </w:rPr>
        <w:t>Speaking during the ceremony, the Group Director Retail Banking, Dennis Njau, congratulated the graduands and reaffirmed NCBA’s continued support for SMEs. He said, "We believe that when entrepreneurs grow, the country grows. This programme gives our customers the practical knowledge, confidence and partnerships they need to take bold steps in their businesses. NCBA remains committed to walking this journey with them through capacity building and strong financial solutions."</w:t>
      </w:r>
    </w:p>
    <w:p w14:paraId="2B15327F" w14:textId="2F18588B" w:rsidR="00BD7EB1" w:rsidRDefault="00757EEA">
      <w:pPr>
        <w:spacing w:before="240" w:after="240" w:line="360" w:lineRule="auto"/>
        <w:jc w:val="both"/>
        <w:rPr>
          <w:rFonts w:ascii="Century Gothic" w:eastAsia="Century Gothic" w:hAnsi="Century Gothic" w:cs="Century Gothic"/>
        </w:rPr>
      </w:pPr>
      <w:r>
        <w:rPr>
          <w:rFonts w:ascii="Century Gothic" w:eastAsia="Century Gothic" w:hAnsi="Century Gothic" w:cs="Century Gothic"/>
        </w:rPr>
        <w:t>The Enterprise Development Programme is a core part of NCBA’s SME banking strategy</w:t>
      </w:r>
      <w:r w:rsidR="00667C3D">
        <w:rPr>
          <w:rFonts w:ascii="Century Gothic" w:eastAsia="Century Gothic" w:hAnsi="Century Gothic" w:cs="Century Gothic"/>
        </w:rPr>
        <w:t xml:space="preserve"> and </w:t>
      </w:r>
      <w:r w:rsidR="008909BF">
        <w:rPr>
          <w:rFonts w:ascii="Century Gothic" w:eastAsia="Century Gothic" w:hAnsi="Century Gothic" w:cs="Century Gothic"/>
        </w:rPr>
        <w:t>is</w:t>
      </w:r>
      <w:r>
        <w:rPr>
          <w:rFonts w:ascii="Century Gothic" w:eastAsia="Century Gothic" w:hAnsi="Century Gothic" w:cs="Century Gothic"/>
        </w:rPr>
        <w:t xml:space="preserve"> designed to equip business owners with strong leadership skills and practical tools for growth. The programme helps entrepreneurs build resilience. It helps them sharpen their strategy. It gives them the confidence to navigate the ever-changing business environment.</w:t>
      </w:r>
    </w:p>
    <w:p w14:paraId="673F023C" w14:textId="77777777" w:rsidR="00BD7EB1" w:rsidRDefault="00757EEA">
      <w:pPr>
        <w:spacing w:before="240" w:after="240" w:line="360" w:lineRule="auto"/>
        <w:jc w:val="both"/>
        <w:rPr>
          <w:rFonts w:ascii="Century Gothic" w:eastAsia="Century Gothic" w:hAnsi="Century Gothic" w:cs="Century Gothic"/>
        </w:rPr>
      </w:pPr>
      <w:r>
        <w:rPr>
          <w:rFonts w:ascii="Century Gothic" w:eastAsia="Century Gothic" w:hAnsi="Century Gothic" w:cs="Century Gothic"/>
        </w:rPr>
        <w:t>Dennis Njau highlighted NCBA’s growing ecosystem of SME support. This includes financial solutions enhanced by strategic partnerships such as the Africa Guarantee Fund, AFAWA, Water.Org and Proparco. These partnerships help NCBA reduce risk, improve access to credit and support entrepreneurs in key areas such as women-led business growth, climate resilience and water and sanitation financing. They also strengthen NCBA’s ability to lend more effectively to SMEs that are ready to scale.</w:t>
      </w:r>
    </w:p>
    <w:p w14:paraId="7745984D" w14:textId="7002BE0D" w:rsidR="00BD7EB1" w:rsidRDefault="00757EEA">
      <w:pPr>
        <w:spacing w:before="240" w:after="240" w:line="360" w:lineRule="auto"/>
        <w:jc w:val="both"/>
        <w:rPr>
          <w:rFonts w:ascii="Century Gothic" w:eastAsia="Century Gothic" w:hAnsi="Century Gothic" w:cs="Century Gothic"/>
        </w:rPr>
      </w:pPr>
      <w:r>
        <w:rPr>
          <w:rFonts w:ascii="Century Gothic" w:eastAsia="Century Gothic" w:hAnsi="Century Gothic" w:cs="Century Gothic"/>
        </w:rPr>
        <w:lastRenderedPageBreak/>
        <w:t xml:space="preserve">The Enterprise Development Programme </w:t>
      </w:r>
      <w:r w:rsidR="00667C3D">
        <w:rPr>
          <w:rFonts w:ascii="Century Gothic" w:eastAsia="Century Gothic" w:hAnsi="Century Gothic" w:cs="Century Gothic"/>
        </w:rPr>
        <w:t>runs for</w:t>
      </w:r>
      <w:r>
        <w:rPr>
          <w:rFonts w:ascii="Century Gothic" w:eastAsia="Century Gothic" w:hAnsi="Century Gothic" w:cs="Century Gothic"/>
        </w:rPr>
        <w:t xml:space="preserve"> </w:t>
      </w:r>
      <w:r w:rsidR="00A038A6">
        <w:rPr>
          <w:rFonts w:ascii="Century Gothic" w:eastAsia="Century Gothic" w:hAnsi="Century Gothic" w:cs="Century Gothic"/>
        </w:rPr>
        <w:t>16 weeks</w:t>
      </w:r>
      <w:r w:rsidR="00667C3D">
        <w:rPr>
          <w:rFonts w:ascii="Century Gothic" w:eastAsia="Century Gothic" w:hAnsi="Century Gothic" w:cs="Century Gothic"/>
        </w:rPr>
        <w:t xml:space="preserve"> and</w:t>
      </w:r>
      <w:r>
        <w:rPr>
          <w:rFonts w:ascii="Century Gothic" w:eastAsia="Century Gothic" w:hAnsi="Century Gothic" w:cs="Century Gothic"/>
        </w:rPr>
        <w:t xml:space="preserve"> combines academic learning with practical coaching. It covers financial management operations, marketing, innovation, leadership and digital transformation. Participants also benefit from networking, peer learning and exposure to real market insights. Over the years, the programme has delivered measurable impact for more than </w:t>
      </w:r>
      <w:r w:rsidR="00A038A6">
        <w:rPr>
          <w:rFonts w:ascii="Century Gothic" w:eastAsia="Century Gothic" w:hAnsi="Century Gothic" w:cs="Century Gothic"/>
        </w:rPr>
        <w:t>three</w:t>
      </w:r>
      <w:r>
        <w:rPr>
          <w:rFonts w:ascii="Century Gothic" w:eastAsia="Century Gothic" w:hAnsi="Century Gothic" w:cs="Century Gothic"/>
        </w:rPr>
        <w:t xml:space="preserve"> hundred NCBA customers.</w:t>
      </w:r>
    </w:p>
    <w:p w14:paraId="43F0C060" w14:textId="77777777" w:rsidR="00BD7EB1" w:rsidRDefault="00757EEA">
      <w:pPr>
        <w:spacing w:before="240" w:after="240" w:line="360" w:lineRule="auto"/>
        <w:jc w:val="both"/>
        <w:rPr>
          <w:rFonts w:ascii="Century Gothic" w:eastAsia="Century Gothic" w:hAnsi="Century Gothic" w:cs="Century Gothic"/>
        </w:rPr>
      </w:pPr>
      <w:r>
        <w:rPr>
          <w:rFonts w:ascii="Century Gothic" w:eastAsia="Century Gothic" w:hAnsi="Century Gothic" w:cs="Century Gothic"/>
        </w:rPr>
        <w:t>Strathmore Business School acknowledged the strong collaboration with NCBA and the shared commitment to building a vibrant SME sector. The institution reiterated its mission to deliver practical learning experiences that address the real challenges entrepreneurs face today.</w:t>
      </w:r>
    </w:p>
    <w:p w14:paraId="06110D34" w14:textId="648E6B8C" w:rsidR="00BD7EB1" w:rsidRDefault="00757EEA">
      <w:pPr>
        <w:spacing w:before="240" w:after="240" w:line="360" w:lineRule="auto"/>
        <w:jc w:val="both"/>
        <w:rPr>
          <w:rFonts w:ascii="Century Gothic" w:eastAsia="Century Gothic" w:hAnsi="Century Gothic" w:cs="Century Gothic"/>
        </w:rPr>
      </w:pPr>
      <w:r>
        <w:rPr>
          <w:rFonts w:ascii="Century Gothic" w:eastAsia="Century Gothic" w:hAnsi="Century Gothic" w:cs="Century Gothic"/>
        </w:rPr>
        <w:t xml:space="preserve">NCBA continues to invite customers to enrol in upcoming cohorts. The </w:t>
      </w:r>
      <w:r w:rsidR="00667C3D">
        <w:rPr>
          <w:rFonts w:ascii="Century Gothic" w:eastAsia="Century Gothic" w:hAnsi="Century Gothic" w:cs="Century Gothic"/>
        </w:rPr>
        <w:t>B</w:t>
      </w:r>
      <w:r>
        <w:rPr>
          <w:rFonts w:ascii="Century Gothic" w:eastAsia="Century Gothic" w:hAnsi="Century Gothic" w:cs="Century Gothic"/>
        </w:rPr>
        <w:t>ank encourages business owners who want to scale to take advantage of the programme and the bank’s broader suite of SME solutions.</w:t>
      </w:r>
    </w:p>
    <w:p w14:paraId="57342DB3" w14:textId="77777777" w:rsidR="00BD7EB1" w:rsidRDefault="00757EEA">
      <w:pPr>
        <w:spacing w:before="240" w:after="240" w:line="360" w:lineRule="auto"/>
        <w:jc w:val="both"/>
        <w:rPr>
          <w:rFonts w:ascii="Century Gothic" w:eastAsia="Century Gothic" w:hAnsi="Century Gothic" w:cs="Century Gothic"/>
        </w:rPr>
      </w:pPr>
      <w:r>
        <w:rPr>
          <w:rFonts w:ascii="Century Gothic" w:eastAsia="Century Gothic" w:hAnsi="Century Gothic" w:cs="Century Gothic"/>
        </w:rPr>
        <w:t>To join future cohorts, applicants must be NCBA customers and must operate a business account that has been active for at least six months. The business should have been in operation for at least two years. It should have at least three employees and have an annual turnover of at least three million shillings. Applicants must also be the primary decision makers in their businesses.</w:t>
      </w:r>
    </w:p>
    <w:p w14:paraId="07CA1382" w14:textId="77777777" w:rsidR="00BD7EB1" w:rsidRDefault="00757EEA">
      <w:pPr>
        <w:spacing w:before="240" w:after="240" w:line="360" w:lineRule="auto"/>
        <w:jc w:val="both"/>
        <w:rPr>
          <w:rFonts w:ascii="Century Gothic" w:eastAsia="Century Gothic" w:hAnsi="Century Gothic" w:cs="Century Gothic"/>
        </w:rPr>
      </w:pPr>
      <w:r>
        <w:rPr>
          <w:rFonts w:ascii="Century Gothic" w:eastAsia="Century Gothic" w:hAnsi="Century Gothic" w:cs="Century Gothic"/>
        </w:rPr>
        <w:t>NCBA and Strathmore Business School continue to collaborate through the Entrepreneurship Development and Innovation Centre. Together, they deliver additional initiatives which include the Owner Manager Programme, business boot camps, networking forums, trade expos and industry conferences. All these initiatives are designed to empower SMEs and MSMEs to grow sustainably and confidently.</w:t>
      </w:r>
    </w:p>
    <w:p w14:paraId="36795648" w14:textId="1D05BB07" w:rsidR="00BD7EB1" w:rsidRPr="00667C3D" w:rsidRDefault="00757EEA" w:rsidP="00667C3D">
      <w:pPr>
        <w:spacing w:before="240" w:after="240" w:line="360" w:lineRule="auto"/>
        <w:jc w:val="both"/>
        <w:rPr>
          <w:rFonts w:ascii="Century Gothic" w:eastAsia="Century Gothic" w:hAnsi="Century Gothic" w:cs="Century Gothic"/>
          <w:b/>
          <w:bCs/>
        </w:rPr>
      </w:pPr>
      <w:r>
        <w:rPr>
          <w:rFonts w:ascii="Century Gothic" w:eastAsia="Century Gothic" w:hAnsi="Century Gothic" w:cs="Century Gothic"/>
        </w:rPr>
        <w:t xml:space="preserve">                                            </w:t>
      </w:r>
      <w:r>
        <w:rPr>
          <w:rFonts w:ascii="Century Gothic" w:eastAsia="Century Gothic" w:hAnsi="Century Gothic" w:cs="Century Gothic"/>
          <w:b/>
          <w:bCs/>
        </w:rPr>
        <w:t>-ENDS</w:t>
      </w:r>
      <w:r w:rsidR="00667C3D">
        <w:rPr>
          <w:rFonts w:ascii="Century Gothic" w:eastAsia="Century Gothic" w:hAnsi="Century Gothic" w:cs="Century Gothic"/>
          <w:b/>
          <w:bCs/>
        </w:rPr>
        <w:t>-</w:t>
      </w:r>
    </w:p>
    <w:p w14:paraId="67EFCDEA" w14:textId="77777777" w:rsidR="00BD7EB1" w:rsidRDefault="00757EEA">
      <w:pPr>
        <w:spacing w:after="160" w:line="360" w:lineRule="auto"/>
        <w:jc w:val="both"/>
        <w:rPr>
          <w:rFonts w:ascii="Century Gothic" w:eastAsia="Century Gothic" w:hAnsi="Century Gothic" w:cs="Century Gothic"/>
          <w:b/>
          <w:bCs/>
        </w:rPr>
      </w:pPr>
      <w:r>
        <w:rPr>
          <w:rFonts w:ascii="Century Gothic" w:eastAsia="Century Gothic" w:hAnsi="Century Gothic" w:cs="Century Gothic"/>
          <w:b/>
          <w:bCs/>
        </w:rPr>
        <w:t>For media enquiries, please contact:</w:t>
      </w:r>
    </w:p>
    <w:p w14:paraId="75BB67F7" w14:textId="77777777" w:rsidR="00BD7EB1" w:rsidRDefault="00757EEA">
      <w:pPr>
        <w:spacing w:after="160" w:line="360" w:lineRule="auto"/>
        <w:jc w:val="both"/>
        <w:rPr>
          <w:rFonts w:ascii="Century Gothic" w:eastAsia="Century Gothic" w:hAnsi="Century Gothic" w:cs="Century Gothic"/>
          <w:b/>
          <w:bCs/>
        </w:rPr>
      </w:pPr>
      <w:r>
        <w:rPr>
          <w:rFonts w:ascii="Century Gothic" w:eastAsia="Century Gothic" w:hAnsi="Century Gothic" w:cs="Century Gothic"/>
        </w:rPr>
        <w:t xml:space="preserve">Nelly Wainaina | Group Director- Marketing, Communication and Citizenship | NCBA </w:t>
      </w:r>
      <w:hyperlink r:id="rId7">
        <w:r>
          <w:rPr>
            <w:rFonts w:ascii="Century Gothic" w:eastAsia="Century Gothic" w:hAnsi="Century Gothic" w:cs="Century Gothic"/>
            <w:color w:val="0563C1"/>
            <w:u w:val="single"/>
          </w:rPr>
          <w:t>Nelly.Wainaina@ncbagroup.com</w:t>
        </w:r>
      </w:hyperlink>
      <w:r>
        <w:rPr>
          <w:rFonts w:ascii="Century Gothic" w:eastAsia="Century Gothic" w:hAnsi="Century Gothic" w:cs="Century Gothic"/>
        </w:rPr>
        <w:t xml:space="preserve">  |Tel:   +254 711 056 444</w:t>
      </w:r>
    </w:p>
    <w:p w14:paraId="31906664" w14:textId="77777777" w:rsidR="00BD7EB1" w:rsidRDefault="00BD7EB1">
      <w:pPr>
        <w:spacing w:after="160" w:line="360" w:lineRule="auto"/>
        <w:jc w:val="both"/>
        <w:rPr>
          <w:rFonts w:ascii="Century Gothic" w:eastAsia="Century Gothic" w:hAnsi="Century Gothic" w:cs="Century Gothic"/>
          <w:b/>
          <w:bCs/>
        </w:rPr>
      </w:pPr>
    </w:p>
    <w:p w14:paraId="0BB4E751" w14:textId="77777777" w:rsidR="00BD7EB1" w:rsidRDefault="00757EEA">
      <w:pPr>
        <w:spacing w:after="160" w:line="360" w:lineRule="auto"/>
        <w:jc w:val="both"/>
        <w:rPr>
          <w:rFonts w:ascii="Century Gothic" w:eastAsia="Century Gothic" w:hAnsi="Century Gothic" w:cs="Century Gothic"/>
          <w:b/>
          <w:bCs/>
        </w:rPr>
      </w:pPr>
      <w:r>
        <w:rPr>
          <w:rFonts w:ascii="Century Gothic" w:eastAsia="Century Gothic" w:hAnsi="Century Gothic" w:cs="Century Gothic"/>
          <w:b/>
          <w:bCs/>
        </w:rPr>
        <w:t xml:space="preserve">About NCBA Group </w:t>
      </w:r>
    </w:p>
    <w:p w14:paraId="361AD1DD" w14:textId="77777777" w:rsidR="00BD7EB1" w:rsidRDefault="00757EEA">
      <w:pPr>
        <w:spacing w:after="160" w:line="360" w:lineRule="auto"/>
        <w:jc w:val="both"/>
        <w:rPr>
          <w:rFonts w:ascii="Century Gothic" w:eastAsia="Century Gothic" w:hAnsi="Century Gothic" w:cs="Century Gothic"/>
        </w:rPr>
      </w:pPr>
      <w:r>
        <w:rPr>
          <w:rFonts w:ascii="Century Gothic" w:eastAsia="Century Gothic" w:hAnsi="Century Gothic" w:cs="Century Gothic"/>
        </w:rPr>
        <w:t>NCBA Group is a full-service Grouping group providing a broad range of financial products and services to corporate, institutional, SME and consumer Grouping customers. NCBA Group operates a network of more than 100 branches in five countries including Kenya, Uganda, Tanzania, Rwanda, and Ivory Coast. Serving over 60 million customers, the NCBA Group is the largest Grouping group in Africa by customer numbers. NCBA Group Kenya PLC is among the top leading Groups by assets. The Group continues to play a key role in supporting Africa's economic ambitions. The Group is a Market Leader in Corporate Grouping, Asset Finance and Digital Grouping.</w:t>
      </w:r>
    </w:p>
    <w:p w14:paraId="3DF1D10B" w14:textId="77777777" w:rsidR="00BD7EB1" w:rsidRDefault="00BD7EB1"/>
    <w:sectPr w:rsidR="00BD7EB1">
      <w:headerReference w:type="default" r:id="rId8"/>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0BCEC6" w14:textId="77777777" w:rsidR="00A14F66" w:rsidRDefault="00A14F66">
      <w:pPr>
        <w:spacing w:line="240" w:lineRule="auto"/>
      </w:pPr>
      <w:r>
        <w:separator/>
      </w:r>
    </w:p>
  </w:endnote>
  <w:endnote w:type="continuationSeparator" w:id="0">
    <w:p w14:paraId="0A48822D" w14:textId="77777777" w:rsidR="00A14F66" w:rsidRDefault="00A14F6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embedRegular r:id="rId1" w:fontKey="{71AFBBF0-3093-4C60-8A7B-D01A7D6BCD88}"/>
    <w:embedBold r:id="rId2" w:fontKey="{4A8A4F93-A9E8-40F2-83E3-24CE6F2C8CDE}"/>
  </w:font>
  <w:font w:name="Calibri">
    <w:panose1 w:val="020F0502020204030204"/>
    <w:charset w:val="00"/>
    <w:family w:val="swiss"/>
    <w:pitch w:val="variable"/>
    <w:sig w:usb0="E4002EFF" w:usb1="C200247B" w:usb2="00000009" w:usb3="00000000" w:csb0="000001FF" w:csb1="00000000"/>
    <w:embedRegular r:id="rId3" w:fontKey="{91389C66-938B-447D-A1F7-3D1277B22E82}"/>
  </w:font>
  <w:font w:name="Cambria">
    <w:panose1 w:val="02040503050406030204"/>
    <w:charset w:val="00"/>
    <w:family w:val="roman"/>
    <w:pitch w:val="variable"/>
    <w:sig w:usb0="E00006FF" w:usb1="420024FF" w:usb2="02000000" w:usb3="00000000" w:csb0="0000019F" w:csb1="00000000"/>
    <w:embedRegular r:id="rId4" w:fontKey="{2146B7C9-6440-4137-9412-A45DD2AB998B}"/>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4ED338" w14:textId="77777777" w:rsidR="00A14F66" w:rsidRDefault="00A14F66">
      <w:pPr>
        <w:spacing w:line="240" w:lineRule="auto"/>
      </w:pPr>
      <w:r>
        <w:separator/>
      </w:r>
    </w:p>
  </w:footnote>
  <w:footnote w:type="continuationSeparator" w:id="0">
    <w:p w14:paraId="1181788A" w14:textId="77777777" w:rsidR="00A14F66" w:rsidRDefault="00A14F6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B9B3CB" w14:textId="77777777" w:rsidR="00BD7EB1" w:rsidRDefault="00757EEA">
    <w:pPr>
      <w:tabs>
        <w:tab w:val="center" w:pos="4513"/>
        <w:tab w:val="right" w:pos="9026"/>
      </w:tabs>
      <w:spacing w:line="240" w:lineRule="auto"/>
      <w:jc w:val="right"/>
    </w:pPr>
    <w:r>
      <w:rPr>
        <w:rFonts w:ascii="Century Gothic" w:eastAsia="Century Gothic" w:hAnsi="Century Gothic" w:cs="Century Gothic"/>
        <w:b/>
        <w:bCs/>
        <w:noProof/>
      </w:rPr>
      <w:drawing>
        <wp:inline distT="114300" distB="114300" distL="114300" distR="114300" wp14:anchorId="528B0F62" wp14:editId="3BDA11B9">
          <wp:extent cx="1471613" cy="622869"/>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471613" cy="622869"/>
                  </a:xfrm>
                  <a:prstGeom prst="rect">
                    <a:avLst/>
                  </a:prstGeom>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D7EB1"/>
    <w:rsid w:val="00035E4A"/>
    <w:rsid w:val="001A4146"/>
    <w:rsid w:val="00205258"/>
    <w:rsid w:val="002D4A69"/>
    <w:rsid w:val="00585E67"/>
    <w:rsid w:val="00667C3D"/>
    <w:rsid w:val="006B6538"/>
    <w:rsid w:val="00757EEA"/>
    <w:rsid w:val="007801C5"/>
    <w:rsid w:val="0086728F"/>
    <w:rsid w:val="008909BF"/>
    <w:rsid w:val="00944E03"/>
    <w:rsid w:val="009C77AD"/>
    <w:rsid w:val="00A038A6"/>
    <w:rsid w:val="00A14F66"/>
    <w:rsid w:val="00AE0135"/>
    <w:rsid w:val="00BD3DAA"/>
    <w:rsid w:val="00BD7EB1"/>
    <w:rsid w:val="00C6296C"/>
    <w:rsid w:val="00CE5E16"/>
    <w:rsid w:val="00D552D1"/>
    <w:rsid w:val="00E601BF"/>
    <w:rsid w:val="00E8584F"/>
    <w:rsid w:val="00E90158"/>
    <w:rsid w:val="00EA7D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C7A78C"/>
  <w15:docId w15:val="{8101B425-9B99-4B50-8877-8AC2C8F274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table" w:customStyle="1" w:styleId="TableNormal1">
    <w:name w:val="TableNormal"/>
    <w:tblPr>
      <w:tblCellMar>
        <w:top w:w="100" w:type="dxa"/>
        <w:left w:w="100" w:type="dxa"/>
        <w:bottom w:w="100" w:type="dxa"/>
        <w:right w:w="100" w:type="dxa"/>
      </w:tblCellMar>
    </w:tbl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customXml" Target="../customXml/item4.xml"/><Relationship Id="rId3" Type="http://schemas.openxmlformats.org/officeDocument/2006/relationships/settings" Target="settings.xml"/><Relationship Id="rId7" Type="http://schemas.openxmlformats.org/officeDocument/2006/relationships/hyperlink" Target="mailto:Nelly.Wainaina@ncbagroup.com" TargetMode="External"/><Relationship Id="rId12" Type="http://schemas.openxmlformats.org/officeDocument/2006/relationships/customXml" Target="../customXml/item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customXml" Target="../customXml/item2.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DOBlM54ercYAmWRsx5TfKKFWhxQ==">CgMxLjA4AHIhMU1hdW5zMFpZQ2xhSDMzT052R2pHUU4wbWlEWUZ3VjNY</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5B7FCA1B65AD174BBEBEB627AA7FAE2A" ma:contentTypeVersion="12" ma:contentTypeDescription="Create a new document." ma:contentTypeScope="" ma:versionID="47461a9742842c2efdae5bc54dc28b62">
  <xsd:schema xmlns:xsd="http://www.w3.org/2001/XMLSchema" xmlns:xs="http://www.w3.org/2001/XMLSchema" xmlns:p="http://schemas.microsoft.com/office/2006/metadata/properties" xmlns:ns2="3e7f8a45-9c89-4d84-97c2-50797334671f" xmlns:ns3="f0c4c64f-a1ef-4b44-a1a6-f38504305229" targetNamespace="http://schemas.microsoft.com/office/2006/metadata/properties" ma:root="true" ma:fieldsID="78d23daa8d39738661ab70e76148392c" ns2:_="" ns3:_="">
    <xsd:import namespace="3e7f8a45-9c89-4d84-97c2-50797334671f"/>
    <xsd:import namespace="f0c4c64f-a1ef-4b44-a1a6-f3850430522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e7f8a45-9c89-4d84-97c2-50797334671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b09c852b-a385-4cfa-b090-6c29117d24cd"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BillingMetadata" ma:index="19"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0c4c64f-a1ef-4b44-a1a6-f38504305229"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4e4d4fbd-7f7a-4042-b0b0-cac2751c1efe}" ma:internalName="TaxCatchAll" ma:showField="CatchAllData" ma:web="f0c4c64f-a1ef-4b44-a1a6-f3850430522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3e7f8a45-9c89-4d84-97c2-50797334671f">
      <Terms xmlns="http://schemas.microsoft.com/office/infopath/2007/PartnerControls"/>
    </lcf76f155ced4ddcb4097134ff3c332f>
    <TaxCatchAll xmlns="f0c4c64f-a1ef-4b44-a1a6-f38504305229" xsi:nil="true"/>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E77D9A63-81CE-4998-B330-35326B26F657}"/>
</file>

<file path=customXml/itemProps3.xml><?xml version="1.0" encoding="utf-8"?>
<ds:datastoreItem xmlns:ds="http://schemas.openxmlformats.org/officeDocument/2006/customXml" ds:itemID="{A0681F07-B95C-489C-B0C6-14CF7BAAC6CF}"/>
</file>

<file path=customXml/itemProps4.xml><?xml version="1.0" encoding="utf-8"?>
<ds:datastoreItem xmlns:ds="http://schemas.openxmlformats.org/officeDocument/2006/customXml" ds:itemID="{1CE3EA74-7672-44A2-988C-5FA5F4580C5B}"/>
</file>

<file path=docMetadata/LabelInfo.xml><?xml version="1.0" encoding="utf-8"?>
<clbl:labelList xmlns:clbl="http://schemas.microsoft.com/office/2020/mipLabelMetadata">
  <clbl:label id="{6a28e8b9-ea23-417c-b7c9-7d38478b2a89}" enabled="0" method="" siteId="{6a28e8b9-ea23-417c-b7c9-7d38478b2a89}" removed="1"/>
</clbl:labelList>
</file>

<file path=docProps/app.xml><?xml version="1.0" encoding="utf-8"?>
<Properties xmlns="http://schemas.openxmlformats.org/officeDocument/2006/extended-properties" xmlns:vt="http://schemas.openxmlformats.org/officeDocument/2006/docPropsVTypes">
  <Template>Normal.dotm</Template>
  <TotalTime>21</TotalTime>
  <Pages>3</Pages>
  <Words>678</Words>
  <Characters>4010</Characters>
  <Application>Microsoft Office Word</Application>
  <DocSecurity>0</DocSecurity>
  <Lines>66</Lines>
  <Paragraphs>20</Paragraphs>
  <ScaleCrop>false</ScaleCrop>
  <Company/>
  <LinksUpToDate>false</LinksUpToDate>
  <CharactersWithSpaces>4668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Everlyne W. Mwanika</dc:creator>
  <cp:lastModifiedBy>Everlyne W. Mwanika</cp:lastModifiedBy>
  <cp:revision>22</cp:revision>
  <dcterms:created xsi:type="dcterms:W3CDTF">2025-11-25T10:34:00Z</dcterms:created>
  <dcterms:modified xsi:type="dcterms:W3CDTF">2025-11-26T06:22:00Z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0x0101005B7FCA1B65AD174BBEBEB627AA7FAE2A</vt:lpwstr>
  </property>
</Properties>
</file>