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6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FOR IMMEDIATE RELEASE</w:t>
      </w:r>
    </w:p>
    <w:p w:rsidR="00000000" w:rsidDel="00000000" w:rsidP="00000000" w:rsidRDefault="00000000" w:rsidRPr="00000000" w14:paraId="00000002">
      <w:pPr>
        <w:spacing w:after="160" w:line="36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Lights Out for Qatar! NCBA and Visa Send Grand Prix Winners on Ultimate Trip</w:t>
      </w:r>
    </w:p>
    <w:p w:rsidR="00000000" w:rsidDel="00000000" w:rsidP="00000000" w:rsidRDefault="00000000" w:rsidRPr="00000000" w14:paraId="00000003">
      <w:pPr>
        <w:spacing w:after="160"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NAIROBI, Kenya - 7th November 2025 - </w:t>
      </w:r>
      <w:r w:rsidDel="00000000" w:rsidR="00000000" w:rsidRPr="00000000">
        <w:rPr>
          <w:rFonts w:ascii="Century Gothic" w:cs="Century Gothic" w:eastAsia="Century Gothic" w:hAnsi="Century Gothic"/>
          <w:rtl w:val="0"/>
        </w:rPr>
        <w:t xml:space="preserve">NCBA Bank Kenya PLC has today held a send-off ceremony for three customers who emerged winners in the NCBA Visa Qatar Grand Prix 2025 campaign. The winners, together with their companions, will enjoy an all-expenses-paid experience at the Qatar Formula 1 Grand Prix courtesy of NCBA Bank and Visa.</w:t>
      </w:r>
    </w:p>
    <w:p w:rsidR="00000000" w:rsidDel="00000000" w:rsidP="00000000" w:rsidRDefault="00000000" w:rsidRPr="00000000" w14:paraId="00000004">
      <w:pPr>
        <w:spacing w:after="240" w:before="240"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Qatar Grand Prix will take place from November 28 to 30, 2025. The winners will have an exclusive opportunity to watch the Visa Cash App RB team in action, a team sponsored globally by Visa. Their package includes premium accommodation, daily meals, airport transfers, transport to and from the track, race-day tickets, Visa prepaid cards and exclusive branded merchandise provided by Visa and NCBA.</w:t>
      </w:r>
    </w:p>
    <w:p w:rsidR="00000000" w:rsidDel="00000000" w:rsidP="00000000" w:rsidRDefault="00000000" w:rsidRPr="00000000" w14:paraId="00000005">
      <w:pPr>
        <w:spacing w:after="240" w:before="240"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Speaking during the ceremony, Dennis Njau, Group Director Retail Banking at NCBA, said, “This campaign reflects our continued commitment to rewarding customers who embrace the convenience and security of digital payments. Digitisation remains at the core of NCBA’s strategy, and we are proud to celebrate our customers who continue to use their NCBA Visa cards for everyday transactions. Through this initiative, we aim to make banking not only easier but also more exciting and memorable for our customers.”</w:t>
      </w:r>
    </w:p>
    <w:p w:rsidR="00000000" w:rsidDel="00000000" w:rsidP="00000000" w:rsidRDefault="00000000" w:rsidRPr="00000000" w14:paraId="00000006">
      <w:pPr>
        <w:spacing w:after="240" w:before="240"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NCBA Visa Qatar Grand Prix 2025 campaign ran from August 1 to September 30, 2025 and encouraged NCBA customers to use their Visa debit and credit cards to make payments both online and at merchant outlets. Customers who spent three thousand shillings and above qualified for the draw, from which three winners were selected from hundreds of eligible participants.</w:t>
      </w:r>
    </w:p>
    <w:p w:rsidR="00000000" w:rsidDel="00000000" w:rsidP="00000000" w:rsidRDefault="00000000" w:rsidRPr="00000000" w14:paraId="00000007">
      <w:pPr>
        <w:spacing w:after="240" w:before="240"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campaign is part of NCBA’s broader strategy to promote digital adoption and increase card utilisation by its customer base. It also reaffirms the bank’s commitment to improving customer experiences through innovative and rewarding programs. NCBA remains the only bank in Kenya with exclusive rights to promote the Qatar Grand Prix 2025, following Visa’s global partnership with the Visa Cash App RB and Oracle Red Bull Racing Formula One teams.</w:t>
      </w:r>
    </w:p>
    <w:p w:rsidR="00000000" w:rsidDel="00000000" w:rsidP="00000000" w:rsidRDefault="00000000" w:rsidRPr="00000000" w14:paraId="00000008">
      <w:pPr>
        <w:spacing w:after="240" w:before="240"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NCBA offers a full range of Visa cards including Classic, Gold, Platinum, and Infinite. These cards provide customers with numerous benefits such as global access, travel protection, buyer protection, lounge access and secure international payments.</w:t>
      </w:r>
    </w:p>
    <w:p w:rsidR="00000000" w:rsidDel="00000000" w:rsidP="00000000" w:rsidRDefault="00000000" w:rsidRPr="00000000" w14:paraId="00000009">
      <w:pPr>
        <w:spacing w:after="240" w:before="240"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Through initiatives like this, NCBA continues to drive innovation, reward loyalty and deliver world-class experiences that resonate with its customers’ aspirations.</w:t>
      </w:r>
    </w:p>
    <w:p w:rsidR="00000000" w:rsidDel="00000000" w:rsidP="00000000" w:rsidRDefault="00000000" w:rsidRPr="00000000" w14:paraId="0000000A">
      <w:pPr>
        <w:spacing w:after="240" w:before="240" w:line="36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rtl w:val="0"/>
        </w:rPr>
        <w:t xml:space="preserve"> -ENDS-</w:t>
      </w:r>
    </w:p>
    <w:p w:rsidR="00000000" w:rsidDel="00000000" w:rsidP="00000000" w:rsidRDefault="00000000" w:rsidRPr="00000000" w14:paraId="0000000B">
      <w:pPr>
        <w:spacing w:after="160" w:line="36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C">
      <w:pPr>
        <w:spacing w:after="160" w:line="36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For media enquiries, please contact:</w:t>
      </w:r>
    </w:p>
    <w:p w:rsidR="00000000" w:rsidDel="00000000" w:rsidP="00000000" w:rsidRDefault="00000000" w:rsidRPr="00000000" w14:paraId="0000000D">
      <w:pPr>
        <w:spacing w:after="160" w:line="36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Nelly Wainaina | Group Director- Marketing, Communication and Citizenship | NCBA </w:t>
      </w:r>
      <w:hyperlink r:id="rId7">
        <w:r w:rsidDel="00000000" w:rsidR="00000000" w:rsidRPr="00000000">
          <w:rPr>
            <w:rFonts w:ascii="Century Gothic" w:cs="Century Gothic" w:eastAsia="Century Gothic" w:hAnsi="Century Gothic"/>
            <w:color w:val="0563c1"/>
            <w:u w:val="single"/>
            <w:rtl w:val="0"/>
          </w:rPr>
          <w:t xml:space="preserve">Nelly.Wainaina@ncbagroup.com</w:t>
        </w:r>
      </w:hyperlink>
      <w:r w:rsidDel="00000000" w:rsidR="00000000" w:rsidRPr="00000000">
        <w:rPr>
          <w:rFonts w:ascii="Century Gothic" w:cs="Century Gothic" w:eastAsia="Century Gothic" w:hAnsi="Century Gothic"/>
          <w:rtl w:val="0"/>
        </w:rPr>
        <w:t xml:space="preserve">  |Tel:   +254 711 056 444</w:t>
      </w:r>
      <w:r w:rsidDel="00000000" w:rsidR="00000000" w:rsidRPr="00000000">
        <w:rPr>
          <w:rtl w:val="0"/>
        </w:rPr>
      </w:r>
    </w:p>
    <w:p w:rsidR="00000000" w:rsidDel="00000000" w:rsidP="00000000" w:rsidRDefault="00000000" w:rsidRPr="00000000" w14:paraId="0000000E">
      <w:pPr>
        <w:spacing w:after="160" w:line="36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F">
      <w:pPr>
        <w:spacing w:after="160" w:line="36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About NCBA Group </w:t>
      </w:r>
    </w:p>
    <w:p w:rsidR="00000000" w:rsidDel="00000000" w:rsidP="00000000" w:rsidRDefault="00000000" w:rsidRPr="00000000" w14:paraId="00000010">
      <w:pPr>
        <w:spacing w:after="160"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NCBA Group is a full-service Grouping group providing a broad range of financial products and services to corporate, institutional, SME and consumer Grouping customers. NCBA Group operates a network of more than 100 branches in five countries including Kenya, Uganda, Tanzania, Rwanda, and Ivory Coast. Serving over 60 million customers, the NCBA Group is the largest Grouping group in Africa by customer numbers. NCBA Group Kenya PLC is among the top leading Groups by assets. The Group continues to play a key role in supporting Africa's economic ambitions. The Group is a Market Leader in Corporate Grouping, Asset Finance and Digital Grouping.</w:t>
      </w:r>
    </w:p>
    <w:p w:rsidR="00000000" w:rsidDel="00000000" w:rsidP="00000000" w:rsidRDefault="00000000" w:rsidRPr="00000000" w14:paraId="00000011">
      <w:pPr>
        <w:spacing w:after="160" w:line="36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2">
      <w:pPr>
        <w:spacing w:after="160" w:line="36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About Visa Inc. </w:t>
      </w:r>
    </w:p>
    <w:p w:rsidR="00000000" w:rsidDel="00000000" w:rsidP="00000000" w:rsidRDefault="00000000" w:rsidRPr="00000000" w14:paraId="00000013">
      <w:pPr>
        <w:spacing w:after="160"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Visa (NYSE: V) is a global leader in digital payments, facilitating over 215 billion payment transactions annually between consumers, merchants, financial institutions, and government entities across more than 200 countries and territories. Our mission is to connect the world through the most innovative, convenient, reliable and secure payments network, enabling individuals, businesses and economies to thrive. We believe that economies that include everyone everywhere, uplift everyone everywhere and see access as foundational to the future of money movement. Learn more at Visa.com.</w:t>
      </w:r>
    </w:p>
    <w:p w:rsidR="00000000" w:rsidDel="00000000" w:rsidP="00000000" w:rsidRDefault="00000000" w:rsidRPr="00000000" w14:paraId="00000014">
      <w:pPr>
        <w:spacing w:after="160" w:line="360" w:lineRule="auto"/>
        <w:jc w:val="both"/>
        <w:rPr>
          <w:rFonts w:ascii="Century Gothic" w:cs="Century Gothic" w:eastAsia="Century Gothic" w:hAnsi="Century Gothic"/>
          <w:b w:val="1"/>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tabs>
        <w:tab w:val="center" w:leader="none" w:pos="4513"/>
        <w:tab w:val="right" w:leader="none" w:pos="9026"/>
      </w:tabs>
      <w:spacing w:line="240" w:lineRule="auto"/>
      <w:jc w:val="right"/>
      <w:rPr/>
    </w:pPr>
    <w:r w:rsidDel="00000000" w:rsidR="00000000" w:rsidRPr="00000000">
      <w:rPr>
        <w:rFonts w:ascii="Century Gothic" w:cs="Century Gothic" w:eastAsia="Century Gothic" w:hAnsi="Century Gothic"/>
        <w:b w:val="1"/>
      </w:rPr>
      <w:drawing>
        <wp:inline distB="114300" distT="114300" distL="114300" distR="114300">
          <wp:extent cx="1471613" cy="622869"/>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71613" cy="62286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hyperlink" Target="mailto:Nelly.Wainaina@ncbagroup.com"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NRb6vl9xyCdbD7ywjyJWzcSWFQ==">CgMxLjA4AHIhMW5Pc0lOMkMzcVJobjU5cVI2MzR6cUdrUHpHc0tHdjYx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B7FCA1B65AD174BBEBEB627AA7FAE2A" ma:contentTypeVersion="12" ma:contentTypeDescription="Create a new document." ma:contentTypeScope="" ma:versionID="47461a9742842c2efdae5bc54dc28b62">
  <xsd:schema xmlns:xsd="http://www.w3.org/2001/XMLSchema" xmlns:xs="http://www.w3.org/2001/XMLSchema" xmlns:p="http://schemas.microsoft.com/office/2006/metadata/properties" xmlns:ns2="3e7f8a45-9c89-4d84-97c2-50797334671f" xmlns:ns3="f0c4c64f-a1ef-4b44-a1a6-f38504305229" targetNamespace="http://schemas.microsoft.com/office/2006/metadata/properties" ma:root="true" ma:fieldsID="78d23daa8d39738661ab70e76148392c" ns2:_="" ns3:_="">
    <xsd:import namespace="3e7f8a45-9c89-4d84-97c2-50797334671f"/>
    <xsd:import namespace="f0c4c64f-a1ef-4b44-a1a6-f385043052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f8a45-9c89-4d84-97c2-507973346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09c852b-a385-4cfa-b090-6c29117d24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4c64f-a1ef-4b44-a1a6-f385043052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4d4fbd-7f7a-4042-b0b0-cac2751c1efe}" ma:internalName="TaxCatchAll" ma:showField="CatchAllData" ma:web="f0c4c64f-a1ef-4b44-a1a6-f38504305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7f8a45-9c89-4d84-97c2-50797334671f">
      <Terms xmlns="http://schemas.microsoft.com/office/infopath/2007/PartnerControls"/>
    </lcf76f155ced4ddcb4097134ff3c332f>
    <TaxCatchAll xmlns="f0c4c64f-a1ef-4b44-a1a6-f3850430522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5DDAD4D-195C-4722-8962-85C93C8EAFD8}"/>
</file>

<file path=customXML/itemProps3.xml><?xml version="1.0" encoding="utf-8"?>
<ds:datastoreItem xmlns:ds="http://schemas.openxmlformats.org/officeDocument/2006/customXml" ds:itemID="{B41AD73F-A508-4589-9B63-D6A382836B1D}"/>
</file>

<file path=customXML/itemProps4.xml><?xml version="1.0" encoding="utf-8"?>
<ds:datastoreItem xmlns:ds="http://schemas.openxmlformats.org/officeDocument/2006/customXml" ds:itemID="{AAAA5236-6FE0-4BC2-AD32-1CC4627AA05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0x0101005B7FCA1B65AD174BBEBEB627AA7FAE2A</vt:lpwstr>
  </property>
</Properties>
</file>