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06643" w14:textId="77777777" w:rsidR="009A7946" w:rsidRDefault="00A67F8E">
      <w:pPr>
        <w:spacing w:line="360" w:lineRule="auto"/>
        <w:jc w:val="both"/>
        <w:rPr>
          <w:rFonts w:ascii="Century Gothic" w:eastAsia="Century Gothic" w:hAnsi="Century Gothic" w:cs="Century Gothic"/>
          <w:b/>
        </w:rPr>
      </w:pPr>
      <w:r>
        <w:rPr>
          <w:rFonts w:ascii="Century Gothic" w:eastAsia="Century Gothic" w:hAnsi="Century Gothic" w:cs="Century Gothic"/>
          <w:b/>
        </w:rPr>
        <w:t>PRESS RELEASE</w:t>
      </w:r>
    </w:p>
    <w:p w14:paraId="1D7FEB10" w14:textId="77777777" w:rsidR="009A7946" w:rsidRDefault="009A7946">
      <w:pPr>
        <w:spacing w:line="360" w:lineRule="auto"/>
        <w:jc w:val="both"/>
        <w:rPr>
          <w:rFonts w:ascii="Century Gothic" w:eastAsia="Century Gothic" w:hAnsi="Century Gothic" w:cs="Century Gothic"/>
          <w:b/>
        </w:rPr>
      </w:pPr>
    </w:p>
    <w:p w14:paraId="4F698CAB" w14:textId="77777777" w:rsidR="009A7946" w:rsidRDefault="00A67F8E">
      <w:pPr>
        <w:spacing w:line="360" w:lineRule="auto"/>
        <w:jc w:val="both"/>
        <w:rPr>
          <w:rFonts w:ascii="Century Gothic" w:eastAsia="Century Gothic" w:hAnsi="Century Gothic" w:cs="Century Gothic"/>
          <w:b/>
        </w:rPr>
      </w:pPr>
      <w:r>
        <w:rPr>
          <w:rFonts w:ascii="Century Gothic" w:eastAsia="Century Gothic" w:hAnsi="Century Gothic" w:cs="Century Gothic"/>
          <w:b/>
        </w:rPr>
        <w:t>NCBA BACKS KENYAN SCHOOLS WITH SMART FINANCING FOR A SUSTAINABLE FUTURE.</w:t>
      </w:r>
    </w:p>
    <w:p w14:paraId="1F465D61" w14:textId="77777777" w:rsidR="009A7946" w:rsidRDefault="009A7946">
      <w:pPr>
        <w:spacing w:line="360" w:lineRule="auto"/>
        <w:jc w:val="both"/>
        <w:rPr>
          <w:rFonts w:ascii="Century Gothic" w:eastAsia="Century Gothic" w:hAnsi="Century Gothic" w:cs="Century Gothic"/>
          <w:b/>
        </w:rPr>
      </w:pPr>
    </w:p>
    <w:p w14:paraId="6979233C" w14:textId="0832F194" w:rsidR="009A7946" w:rsidRDefault="00A67F8E">
      <w:pPr>
        <w:spacing w:line="360" w:lineRule="auto"/>
        <w:jc w:val="both"/>
        <w:rPr>
          <w:rFonts w:ascii="Century Gothic" w:eastAsia="Century Gothic" w:hAnsi="Century Gothic" w:cs="Century Gothic"/>
        </w:rPr>
      </w:pPr>
      <w:r>
        <w:rPr>
          <w:rFonts w:ascii="Century Gothic" w:eastAsia="Century Gothic" w:hAnsi="Century Gothic" w:cs="Century Gothic"/>
          <w:b/>
        </w:rPr>
        <w:t>7th November, 2025</w:t>
      </w:r>
      <w:r w:rsidR="0088615A">
        <w:rPr>
          <w:rFonts w:ascii="Century Gothic" w:eastAsia="Century Gothic" w:hAnsi="Century Gothic" w:cs="Century Gothic"/>
          <w:b/>
        </w:rPr>
        <w:t>…. Nakuru</w:t>
      </w:r>
      <w:r>
        <w:rPr>
          <w:rFonts w:ascii="Century Gothic" w:eastAsia="Century Gothic" w:hAnsi="Century Gothic" w:cs="Century Gothic"/>
          <w:b/>
        </w:rPr>
        <w:t xml:space="preserve">, Kenya. </w:t>
      </w:r>
      <w:r w:rsidR="0088615A">
        <w:rPr>
          <w:rFonts w:ascii="Century Gothic" w:eastAsia="Century Gothic" w:hAnsi="Century Gothic" w:cs="Century Gothic"/>
        </w:rPr>
        <w:t>NCBA Bank</w:t>
      </w:r>
      <w:r>
        <w:rPr>
          <w:rFonts w:ascii="Century Gothic" w:eastAsia="Century Gothic" w:hAnsi="Century Gothic" w:cs="Century Gothic"/>
        </w:rPr>
        <w:t xml:space="preserve"> has today hosted the third edition of its regional “Future-Ready Schools: Embracing Sustainability &amp;Innovation” forum in Nakuru. The forum brought together private school owners, administrators and education sector stakeholders to explore how schools can leverage financing, sustainability and digital transformation to strengthen operations and support long-term growth.</w:t>
      </w:r>
    </w:p>
    <w:p w14:paraId="67499C32" w14:textId="77777777" w:rsidR="009A7946" w:rsidRDefault="009A7946">
      <w:pPr>
        <w:spacing w:line="360" w:lineRule="auto"/>
        <w:jc w:val="both"/>
        <w:rPr>
          <w:rFonts w:ascii="Century Gothic" w:eastAsia="Century Gothic" w:hAnsi="Century Gothic" w:cs="Century Gothic"/>
        </w:rPr>
      </w:pPr>
    </w:p>
    <w:p w14:paraId="0DFA1D7B" w14:textId="77777777" w:rsidR="009A7946" w:rsidRDefault="00A67F8E">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The Forum highlighted NCBA’s full suite of SME solutions tailored for schools including SOMA Plus, a digital platform that automates school administration and fee collection, WASH Loans for financing sanitation and clean water infrastructure and Green Financing to support solar and energy-efficient upgrades that lower operational costs. </w:t>
      </w:r>
    </w:p>
    <w:p w14:paraId="4F49C010" w14:textId="77777777" w:rsidR="009A7946" w:rsidRDefault="009A7946">
      <w:pPr>
        <w:spacing w:line="360" w:lineRule="auto"/>
        <w:jc w:val="both"/>
        <w:rPr>
          <w:rFonts w:ascii="Century Gothic" w:eastAsia="Century Gothic" w:hAnsi="Century Gothic" w:cs="Century Gothic"/>
        </w:rPr>
      </w:pPr>
    </w:p>
    <w:p w14:paraId="5B5A117C" w14:textId="5F57B9C3" w:rsidR="009A7946" w:rsidRDefault="00A67F8E">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Speaking during the forum, NCBA </w:t>
      </w:r>
      <w:r w:rsidR="007C157E">
        <w:rPr>
          <w:rFonts w:ascii="Century Gothic" w:eastAsia="Century Gothic" w:hAnsi="Century Gothic" w:cs="Century Gothic"/>
        </w:rPr>
        <w:t>Director, Commercial and SME Banking, Robert Kiboti said</w:t>
      </w:r>
      <w:r>
        <w:rPr>
          <w:rFonts w:ascii="Century Gothic" w:eastAsia="Century Gothic" w:hAnsi="Century Gothic" w:cs="Century Gothic"/>
        </w:rPr>
        <w:t xml:space="preserve">, “Schools are not just learning institutions; they are employers, community anchors and economic drivers. Our goal is to walk with them as long-term partners, not just lenders, providing financing tools that enable them to grow, </w:t>
      </w:r>
      <w:r w:rsidR="007C157E">
        <w:rPr>
          <w:rFonts w:ascii="Century Gothic" w:eastAsia="Century Gothic" w:hAnsi="Century Gothic" w:cs="Century Gothic"/>
        </w:rPr>
        <w:t>digitize</w:t>
      </w:r>
      <w:r>
        <w:rPr>
          <w:rFonts w:ascii="Century Gothic" w:eastAsia="Century Gothic" w:hAnsi="Century Gothic" w:cs="Century Gothic"/>
        </w:rPr>
        <w:t xml:space="preserve"> and operate sustainably.”</w:t>
      </w:r>
    </w:p>
    <w:p w14:paraId="295D9C90" w14:textId="77777777" w:rsidR="009A7946" w:rsidRDefault="009A7946">
      <w:pPr>
        <w:spacing w:line="360" w:lineRule="auto"/>
        <w:jc w:val="both"/>
        <w:rPr>
          <w:rFonts w:ascii="Century Gothic" w:eastAsia="Century Gothic" w:hAnsi="Century Gothic" w:cs="Century Gothic"/>
        </w:rPr>
      </w:pPr>
    </w:p>
    <w:p w14:paraId="074C03FA" w14:textId="66D07688" w:rsidR="009A7946" w:rsidRDefault="00A67F8E">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The education sector is a key driver in Kenya’s social and economic development, receiving a significant KES 707.2 billion allocation in the 2025/2026 national budget. With more than 10 million primary learners, 4 million secondary learners and a rapidly expanding private segment, the demand for modern, tech-enabled and financially sustainable school systems continues to rise. NCBA’s engagement aims to respond to these evolving needs by positioning schools as high-potential SMES that require </w:t>
      </w:r>
      <w:r w:rsidR="007C157E">
        <w:rPr>
          <w:rFonts w:ascii="Century Gothic" w:eastAsia="Century Gothic" w:hAnsi="Century Gothic" w:cs="Century Gothic"/>
        </w:rPr>
        <w:t>customized</w:t>
      </w:r>
      <w:r>
        <w:rPr>
          <w:rFonts w:ascii="Century Gothic" w:eastAsia="Century Gothic" w:hAnsi="Century Gothic" w:cs="Century Gothic"/>
        </w:rPr>
        <w:t xml:space="preserve"> support rather than </w:t>
      </w:r>
      <w:r w:rsidR="007C157E">
        <w:rPr>
          <w:rFonts w:ascii="Century Gothic" w:eastAsia="Century Gothic" w:hAnsi="Century Gothic" w:cs="Century Gothic"/>
        </w:rPr>
        <w:t>generalized</w:t>
      </w:r>
      <w:r>
        <w:rPr>
          <w:rFonts w:ascii="Century Gothic" w:eastAsia="Century Gothic" w:hAnsi="Century Gothic" w:cs="Century Gothic"/>
        </w:rPr>
        <w:t xml:space="preserve"> financing.</w:t>
      </w:r>
    </w:p>
    <w:p w14:paraId="0A414220" w14:textId="77777777" w:rsidR="009A7946" w:rsidRDefault="009A7946">
      <w:pPr>
        <w:spacing w:line="360" w:lineRule="auto"/>
        <w:jc w:val="both"/>
        <w:rPr>
          <w:rFonts w:ascii="Century Gothic" w:eastAsia="Century Gothic" w:hAnsi="Century Gothic" w:cs="Century Gothic"/>
        </w:rPr>
      </w:pPr>
    </w:p>
    <w:p w14:paraId="049270DD" w14:textId="753F64F1" w:rsidR="009A7946" w:rsidRDefault="00A67F8E">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The school leaders also got insights on access to Asset Finance for buses, </w:t>
      </w:r>
      <w:r w:rsidR="007C157E">
        <w:rPr>
          <w:rFonts w:ascii="Century Gothic" w:eastAsia="Century Gothic" w:hAnsi="Century Gothic" w:cs="Century Gothic"/>
        </w:rPr>
        <w:t>ICT equipment</w:t>
      </w:r>
      <w:r>
        <w:rPr>
          <w:rFonts w:ascii="Century Gothic" w:eastAsia="Century Gothic" w:hAnsi="Century Gothic" w:cs="Century Gothic"/>
        </w:rPr>
        <w:t xml:space="preserve"> and learning facilities</w:t>
      </w:r>
      <w:r w:rsidR="007C157E">
        <w:rPr>
          <w:rFonts w:ascii="Century Gothic" w:eastAsia="Century Gothic" w:hAnsi="Century Gothic" w:cs="Century Gothic"/>
        </w:rPr>
        <w:t xml:space="preserve">. The Bank highlighted </w:t>
      </w:r>
      <w:r w:rsidR="009F5BB1">
        <w:rPr>
          <w:rFonts w:ascii="Century Gothic" w:eastAsia="Century Gothic" w:hAnsi="Century Gothic" w:cs="Century Gothic"/>
        </w:rPr>
        <w:t xml:space="preserve">the new Corporate Internet Banking platform </w:t>
      </w:r>
      <w:r w:rsidR="009F5BB1">
        <w:rPr>
          <w:rFonts w:ascii="Century Gothic" w:eastAsia="Century Gothic" w:hAnsi="Century Gothic" w:cs="Century Gothic"/>
        </w:rPr>
        <w:lastRenderedPageBreak/>
        <w:t xml:space="preserve">- </w:t>
      </w:r>
      <w:r w:rsidR="007C157E">
        <w:rPr>
          <w:rFonts w:ascii="Century Gothic" w:eastAsia="Century Gothic" w:hAnsi="Century Gothic" w:cs="Century Gothic"/>
        </w:rPr>
        <w:t xml:space="preserve">NCBA </w:t>
      </w:r>
      <w:r>
        <w:rPr>
          <w:rFonts w:ascii="Century Gothic" w:eastAsia="Century Gothic" w:hAnsi="Century Gothic" w:cs="Century Gothic"/>
        </w:rPr>
        <w:t>ConnectPlus</w:t>
      </w:r>
      <w:r w:rsidR="007C157E">
        <w:rPr>
          <w:rFonts w:ascii="Century Gothic" w:eastAsia="Century Gothic" w:hAnsi="Century Gothic" w:cs="Century Gothic"/>
        </w:rPr>
        <w:t>, Soma plus</w:t>
      </w:r>
      <w:r>
        <w:rPr>
          <w:rFonts w:ascii="Century Gothic" w:eastAsia="Century Gothic" w:hAnsi="Century Gothic" w:cs="Century Gothic"/>
        </w:rPr>
        <w:t xml:space="preserve"> and NCBA Tills </w:t>
      </w:r>
      <w:r w:rsidR="007C157E">
        <w:rPr>
          <w:rFonts w:ascii="Century Gothic" w:eastAsia="Century Gothic" w:hAnsi="Century Gothic" w:cs="Century Gothic"/>
        </w:rPr>
        <w:t xml:space="preserve">that </w:t>
      </w:r>
      <w:r>
        <w:rPr>
          <w:rFonts w:ascii="Century Gothic" w:eastAsia="Century Gothic" w:hAnsi="Century Gothic" w:cs="Century Gothic"/>
        </w:rPr>
        <w:t>enable cashless, transparent payments</w:t>
      </w:r>
      <w:r w:rsidR="007C157E">
        <w:rPr>
          <w:rFonts w:ascii="Century Gothic" w:eastAsia="Century Gothic" w:hAnsi="Century Gothic" w:cs="Century Gothic"/>
        </w:rPr>
        <w:t xml:space="preserve"> and collections</w:t>
      </w:r>
      <w:r>
        <w:rPr>
          <w:rFonts w:ascii="Century Gothic" w:eastAsia="Century Gothic" w:hAnsi="Century Gothic" w:cs="Century Gothic"/>
        </w:rPr>
        <w:t xml:space="preserve"> across all school transactions. To safeguard operations, </w:t>
      </w:r>
      <w:r w:rsidR="007C157E">
        <w:rPr>
          <w:rFonts w:ascii="Century Gothic" w:eastAsia="Century Gothic" w:hAnsi="Century Gothic" w:cs="Century Gothic"/>
        </w:rPr>
        <w:t xml:space="preserve">NCBA’s </w:t>
      </w:r>
      <w:r>
        <w:rPr>
          <w:rFonts w:ascii="Century Gothic" w:eastAsia="Century Gothic" w:hAnsi="Century Gothic" w:cs="Century Gothic"/>
        </w:rPr>
        <w:t xml:space="preserve">Bancassurance provides insurance cover for property, transport, staff, students and fee income. </w:t>
      </w:r>
    </w:p>
    <w:p w14:paraId="36A9B1D2" w14:textId="77777777" w:rsidR="00095960" w:rsidRDefault="00095960">
      <w:pPr>
        <w:spacing w:line="360" w:lineRule="auto"/>
        <w:jc w:val="both"/>
        <w:rPr>
          <w:rFonts w:ascii="Century Gothic" w:eastAsia="Century Gothic" w:hAnsi="Century Gothic" w:cs="Century Gothic"/>
        </w:rPr>
      </w:pPr>
    </w:p>
    <w:p w14:paraId="01007A59" w14:textId="6D1B9774" w:rsidR="009A7946" w:rsidRDefault="00C55C90">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According to the </w:t>
      </w:r>
      <w:r w:rsidR="007337B4">
        <w:rPr>
          <w:rFonts w:ascii="Century Gothic" w:eastAsia="Century Gothic" w:hAnsi="Century Gothic" w:cs="Century Gothic"/>
        </w:rPr>
        <w:t>Devolution Ministry</w:t>
      </w:r>
      <w:r>
        <w:rPr>
          <w:rFonts w:ascii="Century Gothic" w:eastAsia="Century Gothic" w:hAnsi="Century Gothic" w:cs="Century Gothic"/>
        </w:rPr>
        <w:t xml:space="preserve">, </w:t>
      </w:r>
      <w:r w:rsidR="00095960">
        <w:rPr>
          <w:rFonts w:ascii="Century Gothic" w:eastAsia="Century Gothic" w:hAnsi="Century Gothic" w:cs="Century Gothic"/>
        </w:rPr>
        <w:t>Nakuru</w:t>
      </w:r>
      <w:r w:rsidR="009D16E2">
        <w:rPr>
          <w:rFonts w:ascii="Century Gothic" w:eastAsia="Century Gothic" w:hAnsi="Century Gothic" w:cs="Century Gothic"/>
        </w:rPr>
        <w:t xml:space="preserve"> County</w:t>
      </w:r>
      <w:r>
        <w:rPr>
          <w:rFonts w:ascii="Century Gothic" w:eastAsia="Century Gothic" w:hAnsi="Century Gothic" w:cs="Century Gothic"/>
        </w:rPr>
        <w:t xml:space="preserve"> </w:t>
      </w:r>
      <w:r w:rsidR="009D16E2">
        <w:rPr>
          <w:rFonts w:ascii="Century Gothic" w:eastAsia="Century Gothic" w:hAnsi="Century Gothic" w:cs="Century Gothic"/>
        </w:rPr>
        <w:t>has shown strong momentum</w:t>
      </w:r>
      <w:r w:rsidR="007D32C3">
        <w:rPr>
          <w:rFonts w:ascii="Century Gothic" w:eastAsia="Century Gothic" w:hAnsi="Century Gothic" w:cs="Century Gothic"/>
        </w:rPr>
        <w:t xml:space="preserve"> in school infrastructure and enrolment </w:t>
      </w:r>
      <w:r w:rsidR="00CA553A">
        <w:rPr>
          <w:rFonts w:ascii="Century Gothic" w:eastAsia="Century Gothic" w:hAnsi="Century Gothic" w:cs="Century Gothic"/>
        </w:rPr>
        <w:t>in the recent years</w:t>
      </w:r>
      <w:r w:rsidR="000D72E9">
        <w:rPr>
          <w:rFonts w:ascii="Century Gothic" w:eastAsia="Century Gothic" w:hAnsi="Century Gothic" w:cs="Century Gothic"/>
        </w:rPr>
        <w:t>, recording an 11.</w:t>
      </w:r>
      <w:r w:rsidR="00841B2E">
        <w:rPr>
          <w:rFonts w:ascii="Century Gothic" w:eastAsia="Century Gothic" w:hAnsi="Century Gothic" w:cs="Century Gothic"/>
        </w:rPr>
        <w:t>4% growth in the Early Childhood Development Centers</w:t>
      </w:r>
      <w:r w:rsidR="00C11D80">
        <w:rPr>
          <w:rFonts w:ascii="Century Gothic" w:eastAsia="Century Gothic" w:hAnsi="Century Gothic" w:cs="Century Gothic"/>
        </w:rPr>
        <w:t xml:space="preserve">. </w:t>
      </w:r>
      <w:r w:rsidR="00841B2E">
        <w:rPr>
          <w:rFonts w:ascii="Century Gothic" w:eastAsia="Century Gothic" w:hAnsi="Century Gothic" w:cs="Century Gothic"/>
        </w:rPr>
        <w:t xml:space="preserve"> </w:t>
      </w:r>
      <w:r w:rsidR="00C11D80">
        <w:rPr>
          <w:rFonts w:ascii="Century Gothic" w:eastAsia="Century Gothic" w:hAnsi="Century Gothic" w:cs="Century Gothic"/>
        </w:rPr>
        <w:t>Pr</w:t>
      </w:r>
      <w:r w:rsidR="00841B2E">
        <w:rPr>
          <w:rFonts w:ascii="Century Gothic" w:eastAsia="Century Gothic" w:hAnsi="Century Gothic" w:cs="Century Gothic"/>
        </w:rPr>
        <w:t xml:space="preserve">imary schools </w:t>
      </w:r>
      <w:r w:rsidR="007615E7">
        <w:rPr>
          <w:rFonts w:ascii="Century Gothic" w:eastAsia="Century Gothic" w:hAnsi="Century Gothic" w:cs="Century Gothic"/>
        </w:rPr>
        <w:t>had a slight decline of 1.1%</w:t>
      </w:r>
      <w:r w:rsidR="00935106">
        <w:rPr>
          <w:rFonts w:ascii="Century Gothic" w:eastAsia="Century Gothic" w:hAnsi="Century Gothic" w:cs="Century Gothic"/>
        </w:rPr>
        <w:t xml:space="preserve">, and secondary schools reflected a 22.3% decrease in 2025. </w:t>
      </w:r>
      <w:r w:rsidR="007615E7">
        <w:rPr>
          <w:rFonts w:ascii="Century Gothic" w:eastAsia="Century Gothic" w:hAnsi="Century Gothic" w:cs="Century Gothic"/>
        </w:rPr>
        <w:t xml:space="preserve"> </w:t>
      </w:r>
      <w:r w:rsidR="00C444BF">
        <w:rPr>
          <w:rFonts w:ascii="Century Gothic" w:eastAsia="Century Gothic" w:hAnsi="Century Gothic" w:cs="Century Gothic"/>
        </w:rPr>
        <w:t>Recognizing</w:t>
      </w:r>
      <w:r w:rsidR="00461728">
        <w:rPr>
          <w:rFonts w:ascii="Century Gothic" w:eastAsia="Century Gothic" w:hAnsi="Century Gothic" w:cs="Century Gothic"/>
        </w:rPr>
        <w:t xml:space="preserve"> both the challenge and opportunity, NCBA is coming in to </w:t>
      </w:r>
      <w:r w:rsidR="007D6F6B">
        <w:rPr>
          <w:rFonts w:ascii="Century Gothic" w:eastAsia="Century Gothic" w:hAnsi="Century Gothic" w:cs="Century Gothic"/>
        </w:rPr>
        <w:t>support the sector through tailored financing solutions, enabling schools to invest in modern infrastructure, overcome resource</w:t>
      </w:r>
      <w:r w:rsidR="00D25742">
        <w:rPr>
          <w:rFonts w:ascii="Century Gothic" w:eastAsia="Century Gothic" w:hAnsi="Century Gothic" w:cs="Century Gothic"/>
        </w:rPr>
        <w:t xml:space="preserve"> constraints and build their </w:t>
      </w:r>
      <w:r w:rsidR="00C444BF">
        <w:rPr>
          <w:rFonts w:ascii="Century Gothic" w:eastAsia="Century Gothic" w:hAnsi="Century Gothic" w:cs="Century Gothic"/>
        </w:rPr>
        <w:t>resilience</w:t>
      </w:r>
      <w:r w:rsidR="00D25742">
        <w:rPr>
          <w:rFonts w:ascii="Century Gothic" w:eastAsia="Century Gothic" w:hAnsi="Century Gothic" w:cs="Century Gothic"/>
        </w:rPr>
        <w:t xml:space="preserve"> to provide sustainable quality </w:t>
      </w:r>
      <w:r w:rsidR="00C444BF">
        <w:rPr>
          <w:rFonts w:ascii="Century Gothic" w:eastAsia="Century Gothic" w:hAnsi="Century Gothic" w:cs="Century Gothic"/>
        </w:rPr>
        <w:t xml:space="preserve">learning for every student in the county. </w:t>
      </w:r>
    </w:p>
    <w:p w14:paraId="25575109" w14:textId="77777777" w:rsidR="00C444BF" w:rsidRDefault="00C444BF">
      <w:pPr>
        <w:spacing w:line="360" w:lineRule="auto"/>
        <w:jc w:val="both"/>
        <w:rPr>
          <w:rFonts w:ascii="Century Gothic" w:eastAsia="Century Gothic" w:hAnsi="Century Gothic" w:cs="Century Gothic"/>
        </w:rPr>
      </w:pPr>
    </w:p>
    <w:p w14:paraId="0A625452" w14:textId="77777777" w:rsidR="009A7946" w:rsidRDefault="00A67F8E">
      <w:pPr>
        <w:spacing w:line="360" w:lineRule="auto"/>
        <w:jc w:val="both"/>
        <w:rPr>
          <w:rFonts w:ascii="Century Gothic" w:eastAsia="Century Gothic" w:hAnsi="Century Gothic" w:cs="Century Gothic"/>
        </w:rPr>
      </w:pPr>
      <w:r>
        <w:rPr>
          <w:rFonts w:ascii="Century Gothic" w:eastAsia="Century Gothic" w:hAnsi="Century Gothic" w:cs="Century Gothic"/>
        </w:rPr>
        <w:t>“For the first time we are seeing a bank that understands schools not just as borrowers, but as businesses that need digital tools, sustainable financing and protection. The solutions NCBA has presented today are exactly what schools need to stay competitive and future-ready,” said one of the participating school heads.</w:t>
      </w:r>
    </w:p>
    <w:p w14:paraId="794972CD" w14:textId="77777777" w:rsidR="009A7946" w:rsidRDefault="009A7946">
      <w:pPr>
        <w:spacing w:line="360" w:lineRule="auto"/>
        <w:jc w:val="both"/>
        <w:rPr>
          <w:rFonts w:ascii="Century Gothic" w:eastAsia="Century Gothic" w:hAnsi="Century Gothic" w:cs="Century Gothic"/>
        </w:rPr>
      </w:pPr>
    </w:p>
    <w:p w14:paraId="11C623D7" w14:textId="77777777" w:rsidR="009A7946" w:rsidRDefault="00A67F8E">
      <w:pPr>
        <w:spacing w:line="360" w:lineRule="auto"/>
        <w:jc w:val="center"/>
        <w:rPr>
          <w:rFonts w:ascii="Century Gothic" w:eastAsia="Century Gothic" w:hAnsi="Century Gothic" w:cs="Century Gothic"/>
          <w:b/>
        </w:rPr>
      </w:pPr>
      <w:r>
        <w:rPr>
          <w:rFonts w:ascii="Century Gothic" w:eastAsia="Century Gothic" w:hAnsi="Century Gothic" w:cs="Century Gothic"/>
          <w:b/>
        </w:rPr>
        <w:t>-ENDS-</w:t>
      </w:r>
    </w:p>
    <w:p w14:paraId="7959A6A0" w14:textId="77777777" w:rsidR="009A7946" w:rsidRDefault="009A7946">
      <w:pPr>
        <w:spacing w:line="360" w:lineRule="auto"/>
        <w:jc w:val="center"/>
        <w:rPr>
          <w:rFonts w:ascii="Century Gothic" w:eastAsia="Century Gothic" w:hAnsi="Century Gothic" w:cs="Century Gothic"/>
          <w:b/>
        </w:rPr>
      </w:pPr>
    </w:p>
    <w:p w14:paraId="7F5A38D0" w14:textId="77777777" w:rsidR="009A7946" w:rsidRDefault="00A67F8E">
      <w:pPr>
        <w:spacing w:line="360" w:lineRule="auto"/>
        <w:jc w:val="both"/>
        <w:rPr>
          <w:rFonts w:ascii="Century Gothic" w:eastAsia="Century Gothic" w:hAnsi="Century Gothic" w:cs="Century Gothic"/>
          <w:b/>
        </w:rPr>
      </w:pPr>
      <w:r>
        <w:rPr>
          <w:rFonts w:ascii="Century Gothic" w:eastAsia="Century Gothic" w:hAnsi="Century Gothic" w:cs="Century Gothic"/>
          <w:b/>
        </w:rPr>
        <w:t>For media enquiries, please contact:</w:t>
      </w:r>
    </w:p>
    <w:p w14:paraId="43428AF5" w14:textId="77777777" w:rsidR="009A7946" w:rsidRDefault="00A67F8E">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Nelly Wainaina | Group Director- Marketing, Communication and Citizenship  </w:t>
      </w:r>
    </w:p>
    <w:p w14:paraId="6AD9BB88" w14:textId="77777777" w:rsidR="009A7946" w:rsidRDefault="00A67F8E">
      <w:pPr>
        <w:spacing w:line="360" w:lineRule="auto"/>
        <w:jc w:val="both"/>
        <w:rPr>
          <w:rFonts w:ascii="Century Gothic" w:eastAsia="Century Gothic" w:hAnsi="Century Gothic" w:cs="Century Gothic"/>
          <w:b/>
        </w:rPr>
      </w:pPr>
      <w:r>
        <w:rPr>
          <w:rFonts w:ascii="Century Gothic" w:eastAsia="Century Gothic" w:hAnsi="Century Gothic" w:cs="Century Gothic"/>
        </w:rPr>
        <w:t xml:space="preserve">NCBA Group PLC  </w:t>
      </w:r>
      <w:hyperlink r:id="rId7">
        <w:r w:rsidR="009A7946">
          <w:rPr>
            <w:rFonts w:ascii="Century Gothic" w:eastAsia="Century Gothic" w:hAnsi="Century Gothic" w:cs="Century Gothic"/>
            <w:color w:val="0563C1"/>
            <w:u w:val="single"/>
          </w:rPr>
          <w:t>Nelly.Wainaina@ncbagroup.com</w:t>
        </w:r>
      </w:hyperlink>
      <w:r>
        <w:rPr>
          <w:rFonts w:ascii="Century Gothic" w:eastAsia="Century Gothic" w:hAnsi="Century Gothic" w:cs="Century Gothic"/>
        </w:rPr>
        <w:t xml:space="preserve">  |Tel:   +254 711 056 444</w:t>
      </w:r>
    </w:p>
    <w:p w14:paraId="3DFC4B24" w14:textId="77777777" w:rsidR="009A7946" w:rsidRDefault="009A7946">
      <w:pPr>
        <w:spacing w:line="360" w:lineRule="auto"/>
        <w:jc w:val="both"/>
        <w:rPr>
          <w:rFonts w:ascii="Century Gothic" w:eastAsia="Century Gothic" w:hAnsi="Century Gothic" w:cs="Century Gothic"/>
          <w:b/>
        </w:rPr>
      </w:pPr>
    </w:p>
    <w:p w14:paraId="12DB6BF0" w14:textId="77777777" w:rsidR="009A7946" w:rsidRDefault="00A67F8E">
      <w:pPr>
        <w:spacing w:line="360" w:lineRule="auto"/>
        <w:jc w:val="both"/>
        <w:rPr>
          <w:rFonts w:ascii="Century Gothic" w:eastAsia="Century Gothic" w:hAnsi="Century Gothic" w:cs="Century Gothic"/>
          <w:b/>
        </w:rPr>
      </w:pPr>
      <w:r>
        <w:rPr>
          <w:rFonts w:ascii="Century Gothic" w:eastAsia="Century Gothic" w:hAnsi="Century Gothic" w:cs="Century Gothic"/>
          <w:b/>
        </w:rPr>
        <w:t xml:space="preserve">About NCBA Group </w:t>
      </w:r>
    </w:p>
    <w:p w14:paraId="06C89116" w14:textId="77777777" w:rsidR="009A7946" w:rsidRDefault="00A67F8E">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NCBA Group is a full-service banking group providing a broad range of financial products and services to corporate, institutional, SME and consumer banking customers. NCBA Group operates a network of more than 100 branches in five countries including Kenya, Uganda, Tanzania, Rwanda, and Ivory Coast. Serving over 60 million customers, the NCBA Group is the largest banking group in Africa by customer numbers. NCBA Bank </w:t>
      </w:r>
      <w:r>
        <w:rPr>
          <w:rFonts w:ascii="Century Gothic" w:eastAsia="Century Gothic" w:hAnsi="Century Gothic" w:cs="Century Gothic"/>
        </w:rPr>
        <w:lastRenderedPageBreak/>
        <w:t>Kenya PLC is among the top leading banks by assets. The Bank continues to play a key role in supporting Africa's economic ambitions. The Bank is a Market Leader in Corporate Banking, Asset Finance and Digital Banking.</w:t>
      </w:r>
    </w:p>
    <w:p w14:paraId="5772A3A0" w14:textId="77777777" w:rsidR="009A7946" w:rsidRDefault="009A7946">
      <w:pPr>
        <w:spacing w:line="360" w:lineRule="auto"/>
        <w:jc w:val="both"/>
        <w:rPr>
          <w:rFonts w:ascii="Century Gothic" w:eastAsia="Century Gothic" w:hAnsi="Century Gothic" w:cs="Century Gothic"/>
        </w:rPr>
      </w:pPr>
    </w:p>
    <w:p w14:paraId="63FC1886" w14:textId="77777777" w:rsidR="009A7946" w:rsidRDefault="009A7946">
      <w:pPr>
        <w:spacing w:line="360" w:lineRule="auto"/>
        <w:jc w:val="both"/>
        <w:rPr>
          <w:rFonts w:ascii="Century Gothic" w:eastAsia="Century Gothic" w:hAnsi="Century Gothic" w:cs="Century Gothic"/>
        </w:rPr>
      </w:pPr>
    </w:p>
    <w:p w14:paraId="5945BFFE" w14:textId="77777777" w:rsidR="009A7946" w:rsidRDefault="009A7946">
      <w:pPr>
        <w:spacing w:line="360" w:lineRule="auto"/>
        <w:jc w:val="both"/>
        <w:rPr>
          <w:rFonts w:ascii="Century Gothic" w:eastAsia="Century Gothic" w:hAnsi="Century Gothic" w:cs="Century Gothic"/>
        </w:rPr>
      </w:pPr>
    </w:p>
    <w:p w14:paraId="63E36204" w14:textId="77777777" w:rsidR="009A7946" w:rsidRDefault="009A7946">
      <w:pPr>
        <w:spacing w:line="360" w:lineRule="auto"/>
        <w:jc w:val="both"/>
        <w:rPr>
          <w:rFonts w:ascii="Century Gothic" w:eastAsia="Century Gothic" w:hAnsi="Century Gothic" w:cs="Century Gothic"/>
          <w:b/>
        </w:rPr>
      </w:pPr>
    </w:p>
    <w:p w14:paraId="25341F21" w14:textId="77777777" w:rsidR="009A7946" w:rsidRDefault="009A7946">
      <w:pPr>
        <w:jc w:val="both"/>
        <w:rPr>
          <w:rFonts w:ascii="Century Gothic" w:eastAsia="Century Gothic" w:hAnsi="Century Gothic" w:cs="Century Gothic"/>
          <w:b/>
        </w:rPr>
      </w:pPr>
    </w:p>
    <w:sectPr w:rsidR="009A7946">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68575" w14:textId="77777777" w:rsidR="00A67F8E" w:rsidRDefault="00A67F8E">
      <w:pPr>
        <w:spacing w:line="240" w:lineRule="auto"/>
      </w:pPr>
      <w:r>
        <w:separator/>
      </w:r>
    </w:p>
  </w:endnote>
  <w:endnote w:type="continuationSeparator" w:id="0">
    <w:p w14:paraId="520E9CD1" w14:textId="77777777" w:rsidR="00A67F8E" w:rsidRDefault="00A67F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177DDBE9-2D57-41B8-9807-A6530E17890E}"/>
    <w:embedBold r:id="rId2" w:fontKey="{7B0310DD-EDD7-457B-821A-2EC9E3B65624}"/>
  </w:font>
  <w:font w:name="Calibri">
    <w:panose1 w:val="020F0502020204030204"/>
    <w:charset w:val="00"/>
    <w:family w:val="swiss"/>
    <w:pitch w:val="variable"/>
    <w:sig w:usb0="E4002EFF" w:usb1="C200247B" w:usb2="00000009" w:usb3="00000000" w:csb0="000001FF" w:csb1="00000000"/>
    <w:embedRegular r:id="rId3" w:fontKey="{7EEC3CE1-34E6-4A44-A0E6-15C775DA618B}"/>
  </w:font>
  <w:font w:name="Cambria">
    <w:panose1 w:val="02040503050406030204"/>
    <w:charset w:val="00"/>
    <w:family w:val="roman"/>
    <w:pitch w:val="variable"/>
    <w:sig w:usb0="E00006FF" w:usb1="420024FF" w:usb2="02000000" w:usb3="00000000" w:csb0="0000019F" w:csb1="00000000"/>
    <w:embedRegular r:id="rId4" w:fontKey="{B16AEBD1-9E80-408A-9011-7CD3EEDBDB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48D3B" w14:textId="77777777" w:rsidR="00A67F8E" w:rsidRDefault="00A67F8E">
      <w:pPr>
        <w:spacing w:line="240" w:lineRule="auto"/>
      </w:pPr>
      <w:r>
        <w:separator/>
      </w:r>
    </w:p>
  </w:footnote>
  <w:footnote w:type="continuationSeparator" w:id="0">
    <w:p w14:paraId="4F564CF6" w14:textId="77777777" w:rsidR="00A67F8E" w:rsidRDefault="00A67F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BFF42" w14:textId="77777777" w:rsidR="009A7946" w:rsidRDefault="00A67F8E">
    <w:r>
      <w:rPr>
        <w:noProof/>
      </w:rPr>
      <w:drawing>
        <wp:inline distT="114300" distB="114300" distL="114300" distR="114300" wp14:anchorId="04FB1F82" wp14:editId="30F47407">
          <wp:extent cx="1076683" cy="69056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76683" cy="69056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946"/>
    <w:rsid w:val="000608D4"/>
    <w:rsid w:val="00095960"/>
    <w:rsid w:val="000D72E9"/>
    <w:rsid w:val="00247F46"/>
    <w:rsid w:val="00461728"/>
    <w:rsid w:val="00641D98"/>
    <w:rsid w:val="007337B4"/>
    <w:rsid w:val="00740CAD"/>
    <w:rsid w:val="007615E7"/>
    <w:rsid w:val="007C157E"/>
    <w:rsid w:val="007D32C3"/>
    <w:rsid w:val="007D6F6B"/>
    <w:rsid w:val="008414A4"/>
    <w:rsid w:val="00841B2E"/>
    <w:rsid w:val="00881A4A"/>
    <w:rsid w:val="0088615A"/>
    <w:rsid w:val="00935106"/>
    <w:rsid w:val="00950211"/>
    <w:rsid w:val="009A7946"/>
    <w:rsid w:val="009D16E2"/>
    <w:rsid w:val="009E6BF9"/>
    <w:rsid w:val="009F5BB1"/>
    <w:rsid w:val="00A67F8E"/>
    <w:rsid w:val="00C11D80"/>
    <w:rsid w:val="00C2383B"/>
    <w:rsid w:val="00C444BF"/>
    <w:rsid w:val="00C55C90"/>
    <w:rsid w:val="00CA553A"/>
    <w:rsid w:val="00D25742"/>
    <w:rsid w:val="00E663F6"/>
    <w:rsid w:val="00FA51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689CF"/>
  <w15:docId w15:val="{65F7E78A-E267-41EB-8C52-A75D23FBC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yperlink" Target="mailto:Nelly.Wainaina@ncbagroup.com" TargetMode="Externa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hf2dQfOZOowW4BDOo+10+ZRcVg==">CgMxLjA4AHIhMVJTZ21lVVpzbWZURGV6QWtxcGZfMW5OWC1QdnNqVWlU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B7FCA1B65AD174BBEBEB627AA7FAE2A" ma:contentTypeVersion="12" ma:contentTypeDescription="Create a new document." ma:contentTypeScope="" ma:versionID="47461a9742842c2efdae5bc54dc28b62">
  <xsd:schema xmlns:xsd="http://www.w3.org/2001/XMLSchema" xmlns:xs="http://www.w3.org/2001/XMLSchema" xmlns:p="http://schemas.microsoft.com/office/2006/metadata/properties" xmlns:ns2="3e7f8a45-9c89-4d84-97c2-50797334671f" xmlns:ns3="f0c4c64f-a1ef-4b44-a1a6-f38504305229" targetNamespace="http://schemas.microsoft.com/office/2006/metadata/properties" ma:root="true" ma:fieldsID="78d23daa8d39738661ab70e76148392c" ns2:_="" ns3:_="">
    <xsd:import namespace="3e7f8a45-9c89-4d84-97c2-50797334671f"/>
    <xsd:import namespace="f0c4c64f-a1ef-4b44-a1a6-f3850430522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7f8a45-9c89-4d84-97c2-5079733467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09c852b-a385-4cfa-b090-6c29117d24c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c4c64f-a1ef-4b44-a1a6-f3850430522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e4d4fbd-7f7a-4042-b0b0-cac2751c1efe}" ma:internalName="TaxCatchAll" ma:showField="CatchAllData" ma:web="f0c4c64f-a1ef-4b44-a1a6-f385043052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7f8a45-9c89-4d84-97c2-50797334671f">
      <Terms xmlns="http://schemas.microsoft.com/office/infopath/2007/PartnerControls"/>
    </lcf76f155ced4ddcb4097134ff3c332f>
    <TaxCatchAll xmlns="f0c4c64f-a1ef-4b44-a1a6-f38504305229"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9B1943-E2D3-4D6F-8B54-EAE5B6C7A527}"/>
</file>

<file path=customXml/itemProps3.xml><?xml version="1.0" encoding="utf-8"?>
<ds:datastoreItem xmlns:ds="http://schemas.openxmlformats.org/officeDocument/2006/customXml" ds:itemID="{59B8BC99-9645-4083-85C8-26F43031919C}"/>
</file>

<file path=customXml/itemProps4.xml><?xml version="1.0" encoding="utf-8"?>
<ds:datastoreItem xmlns:ds="http://schemas.openxmlformats.org/officeDocument/2006/customXml" ds:itemID="{20EA7CBF-0C84-4DCA-9785-7A1FBBBF0E86}"/>
</file>

<file path=docMetadata/LabelInfo.xml><?xml version="1.0" encoding="utf-8"?>
<clbl:labelList xmlns:clbl="http://schemas.microsoft.com/office/2020/mipLabelMetadata">
  <clbl:label id="{6a28e8b9-ea23-417c-b7c9-7d38478b2a89}" enabled="0" method="" siteId="{6a28e8b9-ea23-417c-b7c9-7d38478b2a89}"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587</Words>
  <Characters>3470</Characters>
  <Application>Microsoft Office Word</Application>
  <DocSecurity>0</DocSecurity>
  <Lines>70</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Everlyne W. Mwanika</dc:creator>
  <cp:lastModifiedBy>Everlyne W. Mwanika</cp:lastModifiedBy>
  <cp:revision>2</cp:revision>
  <dcterms:created xsi:type="dcterms:W3CDTF">2025-11-07T08:57:00Z</dcterms:created>
  <dcterms:modified xsi:type="dcterms:W3CDTF">2025-11-07T08:57:00Z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0x0101005B7FCA1B65AD174BBEBEB627AA7FAE2A</vt:lpwstr>
  </property>
</Properties>
</file>