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2">
      <w:pPr>
        <w:spacing w:line="36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PRESS RELEASE</w:t>
      </w:r>
    </w:p>
    <w:p w:rsidR="00000000" w:rsidDel="00000000" w:rsidP="00000000" w:rsidRDefault="00000000" w:rsidRPr="00000000" w14:paraId="00000003">
      <w:pPr>
        <w:spacing w:line="36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4">
      <w:pPr>
        <w:spacing w:line="36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NCBA STRENGTHENS CUSTOMER FOCUS AT THE COAST, DRIVING GROWTH THROUGH DIALOGUE.</w:t>
      </w:r>
    </w:p>
    <w:p w:rsidR="00000000" w:rsidDel="00000000" w:rsidP="00000000" w:rsidRDefault="00000000" w:rsidRPr="00000000" w14:paraId="00000005">
      <w:pPr>
        <w:spacing w:line="36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6">
      <w:pPr>
        <w:spacing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25th October 2025……Mombasa, Kenya. </w:t>
      </w:r>
      <w:r w:rsidDel="00000000" w:rsidR="00000000" w:rsidRPr="00000000">
        <w:rPr>
          <w:rFonts w:ascii="Century Gothic" w:cs="Century Gothic" w:eastAsia="Century Gothic" w:hAnsi="Century Gothic"/>
          <w:rtl w:val="0"/>
        </w:rPr>
        <w:t xml:space="preserve">In line with its customer obsession agenda, NCBA has concluded its Coast leadership engagement circuit, which brought together customers, partners and staff across Ukunda, Nyali and Mombasa. The three-day activity provided a platform for open dialogue with customers, offering valuable insights into their experiences and expectations while reinforcing NCBA’s commitment to customer-centric growth in one of Kenya’s most economically vibrant regions.</w:t>
      </w:r>
    </w:p>
    <w:p w:rsidR="00000000" w:rsidDel="00000000" w:rsidP="00000000" w:rsidRDefault="00000000" w:rsidRPr="00000000" w14:paraId="00000007">
      <w:pPr>
        <w:spacing w:line="36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8">
      <w:pPr>
        <w:spacing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Coast region plays a pivotal role in Kenya’s economy driven by tourism, port operations, maritime services, agriculture and trade. Around 45 percent of the region’s economic activity is attributed to tourism, with an additional 15 percent from maritime and port operations. According to the latest Gross County Product (GCP) report, Mombasa county contributes approximately 4.5 percent to Kenya’s national gross value add, making it one of the top four county economies in the country. These figures highlight not only the economic weight of the Coast, but also its potential as a growth engine for trade, logistics, hospitality and business.</w:t>
      </w:r>
    </w:p>
    <w:p w:rsidR="00000000" w:rsidDel="00000000" w:rsidP="00000000" w:rsidRDefault="00000000" w:rsidRPr="00000000" w14:paraId="00000009">
      <w:pPr>
        <w:spacing w:line="36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spacing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Speaking during the engagement, NCBA Kenya Managing Director James Gossip, said, “The Coast represents one of Kenya’s most economic corridors and our presence here is about creating meaningful partnerships that unlock potential. At NCBA we believe that progress starts with listening to our customers, our communities and our people, so that we can design solutions that truly make a difference in their lives.”</w:t>
      </w:r>
    </w:p>
    <w:p w:rsidR="00000000" w:rsidDel="00000000" w:rsidP="00000000" w:rsidRDefault="00000000" w:rsidRPr="00000000" w14:paraId="0000000B">
      <w:pPr>
        <w:spacing w:line="36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spacing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part of its growth strategy, NCBA has been executing robust retail and corporate banking initiatives. On the retail front, the bank has expanded its branch network to 100 branches across the country, increasing accessibility to both urban and regional markets. On the corporate banking side, NCBA recently launched </w:t>
      </w:r>
      <w:r w:rsidDel="00000000" w:rsidR="00000000" w:rsidRPr="00000000">
        <w:rPr>
          <w:rFonts w:ascii="Century Gothic" w:cs="Century Gothic" w:eastAsia="Century Gothic" w:hAnsi="Century Gothic"/>
          <w:b w:val="1"/>
          <w:rtl w:val="0"/>
        </w:rPr>
        <w:t xml:space="preserve">ConnectPlus</w:t>
      </w:r>
      <w:r w:rsidDel="00000000" w:rsidR="00000000" w:rsidRPr="00000000">
        <w:rPr>
          <w:rFonts w:ascii="Century Gothic" w:cs="Century Gothic" w:eastAsia="Century Gothic" w:hAnsi="Century Gothic"/>
          <w:rtl w:val="0"/>
        </w:rPr>
        <w:t xml:space="preserve">, a next-generation transaction banking platform built on cloud-based technology. The platform enhances transaction processing, strengthens security and improves liquidity management for corporate and SME clients. </w:t>
      </w:r>
    </w:p>
    <w:p w:rsidR="00000000" w:rsidDel="00000000" w:rsidP="00000000" w:rsidRDefault="00000000" w:rsidRPr="00000000" w14:paraId="0000000D">
      <w:pPr>
        <w:spacing w:line="36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spacing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 the same time, NCBA continues to invest heavily in digital banking, with mobile and online channels driving more than 30 percent growth in digital loan disbursements year-on-year. This expansion aligns with the bank's ambition to bring banking closer to customers and enhance convenience through technology. The bank has also adopted a sectoral engagement model, allowing specialized teams to better serve strategic industries such as agriculture, trade, logistics, energy and manufacturing; sectors that play a critical role in Kenya’s economic transformation.</w:t>
      </w:r>
    </w:p>
    <w:p w:rsidR="00000000" w:rsidDel="00000000" w:rsidP="00000000" w:rsidRDefault="00000000" w:rsidRPr="00000000" w14:paraId="0000000F">
      <w:pPr>
        <w:spacing w:line="36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spacing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mission is to be more than just a financial institution. As we continue to deepen our relationships at the Coast and across the country, our goal is to empower businesses, inspire ambition and ensure that every customer who banks with NCBA feels supported to go for it,” added Mr. Gossip.</w:t>
      </w:r>
    </w:p>
    <w:p w:rsidR="00000000" w:rsidDel="00000000" w:rsidP="00000000" w:rsidRDefault="00000000" w:rsidRPr="00000000" w14:paraId="00000011">
      <w:pPr>
        <w:spacing w:line="36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spacing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Through these customer engagements, NCBA continues to reaffirm its focus on strengthening partnerships, identifying opportunities to enhance customer experience and exploring new ways to support the regions’ thriving business community.</w:t>
      </w:r>
    </w:p>
    <w:p w:rsidR="00000000" w:rsidDel="00000000" w:rsidP="00000000" w:rsidRDefault="00000000" w:rsidRPr="00000000" w14:paraId="00000013">
      <w:pPr>
        <w:spacing w:line="36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spacing w:line="36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-ENDS-</w:t>
      </w:r>
    </w:p>
    <w:p w:rsidR="00000000" w:rsidDel="00000000" w:rsidP="00000000" w:rsidRDefault="00000000" w:rsidRPr="00000000" w14:paraId="00000015">
      <w:pPr>
        <w:spacing w:line="360" w:lineRule="auto"/>
        <w:jc w:val="cente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6">
      <w:pPr>
        <w:spacing w:after="200" w:before="240" w:line="36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For media enquiries, please contact:</w:t>
      </w:r>
    </w:p>
    <w:p w:rsidR="00000000" w:rsidDel="00000000" w:rsidP="00000000" w:rsidRDefault="00000000" w:rsidRPr="00000000" w14:paraId="00000017">
      <w:pPr>
        <w:spacing w:after="200" w:before="24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Nelly Wainaina | Group Director- Marketing, Communication and Citizenship | NCBA </w:t>
      </w:r>
      <w:r w:rsidDel="00000000" w:rsidR="00000000" w:rsidRPr="00000000">
        <w:rPr>
          <w:rFonts w:ascii="Century Gothic" w:cs="Century Gothic" w:eastAsia="Century Gothic" w:hAnsi="Century Gothic"/>
          <w:color w:val="0563c1"/>
          <w:rtl w:val="0"/>
        </w:rPr>
        <w:t xml:space="preserve">Nelly.Wainaina@ncbagroup.com</w:t>
      </w:r>
      <w:r w:rsidDel="00000000" w:rsidR="00000000" w:rsidRPr="00000000">
        <w:rPr>
          <w:rFonts w:ascii="Century Gothic" w:cs="Century Gothic" w:eastAsia="Century Gothic" w:hAnsi="Century Gothic"/>
          <w:rtl w:val="0"/>
        </w:rPr>
        <w:t xml:space="preserve">  |Tel:   +254 711 056 444</w:t>
      </w:r>
    </w:p>
    <w:p w:rsidR="00000000" w:rsidDel="00000000" w:rsidP="00000000" w:rsidRDefault="00000000" w:rsidRPr="00000000" w14:paraId="00000018">
      <w:pPr>
        <w:spacing w:after="200" w:before="24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About NCBA Group</w:t>
      </w:r>
      <w:r w:rsidDel="00000000" w:rsidR="00000000" w:rsidRPr="00000000">
        <w:rPr>
          <w:rtl w:val="0"/>
        </w:rPr>
      </w:r>
    </w:p>
    <w:p w:rsidR="00000000" w:rsidDel="00000000" w:rsidP="00000000" w:rsidRDefault="00000000" w:rsidRPr="00000000" w14:paraId="00000019">
      <w:pPr>
        <w:spacing w:after="200" w:before="24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NCBA Group is a full-service banking group providing a broad range of financial products and services to corporate, institutional, SME and consumer banking customers. NCBA Group operates a network of over 100 branches across five countries, including Kenya, Uganda, Tanzania, Rwanda, and the Ivory Coast. Serving over 60 million customers, the NCBA Group is the largest banking group in Africa by customer numbers. NCBA Bank Kenya PLC is one of the leading banks in terms of assets. The Bank continues to play a key role in supporting Africa's economic ambitions. The Bank is a Market Leader in Corporate Banking, Asset Finance and Digital Banking.</w:t>
      </w:r>
    </w:p>
    <w:p w:rsidR="00000000" w:rsidDel="00000000" w:rsidP="00000000" w:rsidRDefault="00000000" w:rsidRPr="00000000" w14:paraId="0000001A">
      <w:pPr>
        <w:spacing w:after="20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B">
      <w:pPr>
        <w:spacing w:line="360" w:lineRule="auto"/>
        <w:jc w:val="both"/>
        <w:rPr>
          <w:rFonts w:ascii="Century Gothic" w:cs="Century Gothic" w:eastAsia="Century Gothic" w:hAnsi="Century Gothic"/>
          <w:b w:val="1"/>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57180</wp:posOffset>
          </wp:positionV>
          <wp:extent cx="1404938" cy="733395"/>
          <wp:effectExtent b="0" l="0" r="0" t="0"/>
          <wp:wrapNone/>
          <wp:docPr descr="Logo&#10;&#10;Description automatically generated" id="2"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1404938" cy="7333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nB9uwYUhVJUn8lChk3lvJLXuGQ==">CgMxLjA4AHIhMXcwWEREUEZKUE5WLU9tMHF0SzYzck9KNWo4OUFkNXg4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B7FCA1B65AD174BBEBEB627AA7FAE2A" ma:contentTypeVersion="12" ma:contentTypeDescription="Create a new document." ma:contentTypeScope="" ma:versionID="47461a9742842c2efdae5bc54dc28b62">
  <xsd:schema xmlns:xsd="http://www.w3.org/2001/XMLSchema" xmlns:xs="http://www.w3.org/2001/XMLSchema" xmlns:p="http://schemas.microsoft.com/office/2006/metadata/properties" xmlns:ns2="3e7f8a45-9c89-4d84-97c2-50797334671f" xmlns:ns3="f0c4c64f-a1ef-4b44-a1a6-f38504305229" targetNamespace="http://schemas.microsoft.com/office/2006/metadata/properties" ma:root="true" ma:fieldsID="78d23daa8d39738661ab70e76148392c" ns2:_="" ns3:_="">
    <xsd:import namespace="3e7f8a45-9c89-4d84-97c2-50797334671f"/>
    <xsd:import namespace="f0c4c64f-a1ef-4b44-a1a6-f38504305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f8a45-9c89-4d84-97c2-507973346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09c852b-a385-4cfa-b090-6c29117d24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4c64f-a1ef-4b44-a1a6-f38504305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4d4fbd-7f7a-4042-b0b0-cac2751c1efe}" ma:internalName="TaxCatchAll" ma:showField="CatchAllData" ma:web="f0c4c64f-a1ef-4b44-a1a6-f38504305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7f8a45-9c89-4d84-97c2-50797334671f">
      <Terms xmlns="http://schemas.microsoft.com/office/infopath/2007/PartnerControls"/>
    </lcf76f155ced4ddcb4097134ff3c332f>
    <TaxCatchAll xmlns="f0c4c64f-a1ef-4b44-a1a6-f3850430522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299C760-FB42-4406-A54B-224C8C57C369}"/>
</file>

<file path=customXML/itemProps3.xml><?xml version="1.0" encoding="utf-8"?>
<ds:datastoreItem xmlns:ds="http://schemas.openxmlformats.org/officeDocument/2006/customXml" ds:itemID="{CEAC4D86-077B-4302-AF5C-386272CF3E1C}"/>
</file>

<file path=customXML/itemProps4.xml><?xml version="1.0" encoding="utf-8"?>
<ds:datastoreItem xmlns:ds="http://schemas.openxmlformats.org/officeDocument/2006/customXml" ds:itemID="{9BCB1202-4B00-4095-BB2D-B84114A0734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0x0101005B7FCA1B65AD174BBEBEB627AA7FAE2A</vt:lpwstr>
  </property>
</Properties>
</file>