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DC23" w14:textId="77777777" w:rsidR="00C43EFC" w:rsidRPr="00C43EFC" w:rsidRDefault="00C43EFC" w:rsidP="00C43EFC">
      <w:pPr>
        <w:spacing w:after="0" w:line="300" w:lineRule="auto"/>
        <w:jc w:val="both"/>
        <w:rPr>
          <w:rFonts w:ascii="Segoe UI" w:eastAsia="Segoe UI" w:hAnsi="Segoe UI" w:cs="Segoe UI"/>
          <w:b/>
          <w:bCs/>
          <w:sz w:val="22"/>
          <w:szCs w:val="22"/>
          <w:lang w:val="en-US"/>
        </w:rPr>
      </w:pPr>
      <w:r w:rsidRPr="00C43EFC">
        <w:rPr>
          <w:rFonts w:ascii="Segoe UI" w:eastAsia="Segoe UI" w:hAnsi="Segoe UI" w:cs="Segoe UI"/>
          <w:b/>
          <w:bCs/>
          <w:sz w:val="22"/>
          <w:szCs w:val="22"/>
          <w:lang w:val="en-US"/>
        </w:rPr>
        <w:t>Driving Sustainable Homeownership: NCBA Unveils Solar Leasing on Electric</w:t>
      </w:r>
      <w:r w:rsidRPr="00C43EFC">
        <w:rPr>
          <w:rFonts w:ascii="Segoe UI" w:eastAsia="Segoe UI" w:hAnsi="Segoe UI" w:cs="Segoe UI"/>
          <w:b/>
          <w:bCs/>
          <w:sz w:val="22"/>
          <w:szCs w:val="22"/>
          <w:lang w:val="en-US"/>
        </w:rPr>
        <w:noBreakHyphen/>
        <w:t>Powered Property Tour</w:t>
      </w:r>
    </w:p>
    <w:p w14:paraId="1ECFFE46" w14:textId="77777777" w:rsidR="008C56C9" w:rsidRPr="008C56C9" w:rsidRDefault="008C56C9" w:rsidP="008C56C9">
      <w:pPr>
        <w:spacing w:after="0" w:line="300" w:lineRule="auto"/>
        <w:jc w:val="both"/>
        <w:rPr>
          <w:rFonts w:ascii="Segoe UI" w:eastAsia="Segoe UI" w:hAnsi="Segoe UI" w:cs="Segoe UI"/>
          <w:b/>
          <w:bCs/>
          <w:sz w:val="22"/>
          <w:szCs w:val="22"/>
        </w:rPr>
      </w:pPr>
    </w:p>
    <w:p w14:paraId="79E12627" w14:textId="044D7309" w:rsidR="00631A3B" w:rsidRDefault="00631A3B" w:rsidP="00631A3B">
      <w:pPr>
        <w:spacing w:after="0" w:line="300" w:lineRule="auto"/>
        <w:jc w:val="both"/>
        <w:rPr>
          <w:rFonts w:ascii="Century Gothic" w:hAnsi="Century Gothic"/>
          <w:sz w:val="20"/>
          <w:szCs w:val="20"/>
          <w:lang w:val="en-US"/>
        </w:rPr>
      </w:pPr>
      <w:r w:rsidRPr="00631A3B">
        <w:rPr>
          <w:rFonts w:ascii="Century Gothic" w:hAnsi="Century Gothic"/>
          <w:b/>
          <w:bCs/>
          <w:sz w:val="20"/>
          <w:szCs w:val="20"/>
          <w:lang w:val="en-US"/>
        </w:rPr>
        <w:t>28th February 2026, Nairobi, Kenya</w:t>
      </w:r>
      <w:r w:rsidRPr="00631A3B">
        <w:rPr>
          <w:rFonts w:ascii="Century Gothic" w:hAnsi="Century Gothic"/>
          <w:sz w:val="20"/>
          <w:szCs w:val="20"/>
          <w:lang w:val="en-US"/>
        </w:rPr>
        <w:t xml:space="preserve"> – NCBA Bank has reinforced its commitment to sustainable and affordable homeownership by hosting its annual Property </w:t>
      </w:r>
      <w:r>
        <w:rPr>
          <w:rFonts w:ascii="Century Gothic" w:hAnsi="Century Gothic"/>
          <w:sz w:val="20"/>
          <w:szCs w:val="20"/>
          <w:lang w:val="en-US"/>
        </w:rPr>
        <w:t xml:space="preserve">investment </w:t>
      </w:r>
      <w:r w:rsidRPr="00631A3B">
        <w:rPr>
          <w:rFonts w:ascii="Century Gothic" w:hAnsi="Century Gothic"/>
          <w:sz w:val="20"/>
          <w:szCs w:val="20"/>
          <w:lang w:val="en-US"/>
        </w:rPr>
        <w:t xml:space="preserve"> Tour using fully electric buses and unveiling its innovative Solar Leasing Solution, designed to make clean energy more accessible for Kenyan households.</w:t>
      </w:r>
    </w:p>
    <w:p w14:paraId="377614C5" w14:textId="77777777" w:rsidR="00631A3B" w:rsidRPr="00631A3B" w:rsidRDefault="00631A3B" w:rsidP="00631A3B">
      <w:pPr>
        <w:spacing w:after="0" w:line="300" w:lineRule="auto"/>
        <w:jc w:val="both"/>
        <w:rPr>
          <w:rFonts w:ascii="Century Gothic" w:hAnsi="Century Gothic"/>
          <w:sz w:val="20"/>
          <w:szCs w:val="20"/>
          <w:lang w:val="en-US"/>
        </w:rPr>
      </w:pPr>
    </w:p>
    <w:p w14:paraId="36E089F9" w14:textId="4B5C93D7" w:rsidR="6D02C279" w:rsidRPr="008C56C9" w:rsidRDefault="6D02C279" w:rsidP="581EA7FC">
      <w:pPr>
        <w:spacing w:after="0" w:line="300" w:lineRule="auto"/>
        <w:jc w:val="both"/>
        <w:rPr>
          <w:rFonts w:ascii="Century Gothic" w:hAnsi="Century Gothic"/>
          <w:sz w:val="20"/>
          <w:szCs w:val="20"/>
        </w:rPr>
      </w:pPr>
      <w:r w:rsidRPr="008C56C9">
        <w:rPr>
          <w:rFonts w:ascii="Century Gothic" w:hAnsi="Century Gothic"/>
          <w:sz w:val="20"/>
          <w:szCs w:val="20"/>
        </w:rPr>
        <w:t>This year’s tour comes at a crucial time: home ownership rates in Kenya continue to decline, with national ownership dropping from 64% in 2013 to 61% in 2024, and urban home ownership sliding from 30% to 23%, driven by rising property prices, stagnant incomes, and limited access to long</w:t>
      </w:r>
      <w:r w:rsidRPr="008C56C9">
        <w:rPr>
          <w:rFonts w:ascii="Cambria Math" w:hAnsi="Cambria Math" w:cs="Cambria Math"/>
          <w:sz w:val="20"/>
          <w:szCs w:val="20"/>
        </w:rPr>
        <w:t>‑</w:t>
      </w:r>
      <w:r w:rsidRPr="008C56C9">
        <w:rPr>
          <w:rFonts w:ascii="Century Gothic" w:hAnsi="Century Gothic"/>
          <w:sz w:val="20"/>
          <w:szCs w:val="20"/>
        </w:rPr>
        <w:t>term financing. In Nairobi specifically, only 7.7% of households own the homes they live in, underscoring the affordability challenge for urban families.</w:t>
      </w:r>
      <w:r w:rsidRPr="008C56C9">
        <w:rPr>
          <w:rFonts w:ascii="Century Gothic" w:eastAsiaTheme="minorEastAsia" w:hAnsi="Century Gothic"/>
          <w:sz w:val="20"/>
          <w:szCs w:val="20"/>
        </w:rPr>
        <w:t xml:space="preserve"> </w:t>
      </w:r>
      <w:hyperlink r:id="rId10">
        <w:r w:rsidRPr="008C56C9">
          <w:rPr>
            <w:rStyle w:val="Hyperlink"/>
            <w:rFonts w:ascii="Century Gothic" w:eastAsia="Segoe UI" w:hAnsi="Century Gothic" w:cs="Segoe UI"/>
            <w:color w:val="464FEB"/>
            <w:sz w:val="20"/>
            <w:szCs w:val="20"/>
            <w:u w:val="none"/>
          </w:rPr>
          <w:t>[money254.co.ke]</w:t>
        </w:r>
      </w:hyperlink>
    </w:p>
    <w:p w14:paraId="52E82E96" w14:textId="77777777" w:rsidR="00631A3B" w:rsidRDefault="00631A3B" w:rsidP="00C43EFC">
      <w:pPr>
        <w:jc w:val="both"/>
        <w:rPr>
          <w:rFonts w:ascii="Century Gothic" w:hAnsi="Century Gothic"/>
          <w:sz w:val="20"/>
          <w:szCs w:val="20"/>
        </w:rPr>
      </w:pPr>
    </w:p>
    <w:p w14:paraId="64D76DBA" w14:textId="2338BE45" w:rsidR="00C43EFC" w:rsidRPr="00C43EFC" w:rsidRDefault="00E02127" w:rsidP="00C43EFC">
      <w:pPr>
        <w:jc w:val="both"/>
        <w:rPr>
          <w:rFonts w:ascii="Century Gothic" w:hAnsi="Century Gothic"/>
          <w:sz w:val="20"/>
          <w:szCs w:val="20"/>
          <w:lang w:val="en-US"/>
        </w:rPr>
      </w:pPr>
      <w:r w:rsidRPr="008C56C9">
        <w:rPr>
          <w:rFonts w:ascii="Century Gothic" w:hAnsi="Century Gothic"/>
          <w:sz w:val="20"/>
          <w:szCs w:val="20"/>
        </w:rPr>
        <w:t xml:space="preserve">The tour showcased key residential and commercial developments across the city, enabling customers to interact directly with developers, explore financing options, and understand the full home-buying journey. </w:t>
      </w:r>
      <w:r w:rsidR="00C43EFC" w:rsidRPr="00C43EFC">
        <w:rPr>
          <w:rFonts w:ascii="Century Gothic" w:hAnsi="Century Gothic"/>
          <w:sz w:val="20"/>
          <w:szCs w:val="20"/>
          <w:lang w:val="en-US"/>
        </w:rPr>
        <w:t>Participants interact with developers, learn about financing options, and experience the full home-buying journey</w:t>
      </w:r>
      <w:r w:rsidR="00C43EFC">
        <w:rPr>
          <w:rFonts w:ascii="Century Gothic" w:hAnsi="Century Gothic"/>
          <w:sz w:val="20"/>
          <w:szCs w:val="20"/>
          <w:lang w:val="en-US"/>
        </w:rPr>
        <w:t xml:space="preserve"> </w:t>
      </w:r>
      <w:r w:rsidR="00C43EFC" w:rsidRPr="00C43EFC">
        <w:rPr>
          <w:rFonts w:ascii="Century Gothic" w:hAnsi="Century Gothic"/>
          <w:sz w:val="20"/>
          <w:szCs w:val="20"/>
          <w:lang w:val="en-US"/>
        </w:rPr>
        <w:t xml:space="preserve">with a new emphasis on </w:t>
      </w:r>
      <w:r w:rsidR="00C43EFC" w:rsidRPr="00631A3B">
        <w:rPr>
          <w:rFonts w:ascii="Century Gothic" w:hAnsi="Century Gothic"/>
          <w:b/>
          <w:bCs/>
          <w:sz w:val="20"/>
          <w:szCs w:val="20"/>
          <w:lang w:val="en-US"/>
        </w:rPr>
        <w:t>sustainable living.</w:t>
      </w:r>
    </w:p>
    <w:p w14:paraId="38445E6E" w14:textId="2839B4A7" w:rsidR="00C43EFC" w:rsidRDefault="00C43EFC" w:rsidP="00C43EFC">
      <w:pPr>
        <w:jc w:val="both"/>
        <w:rPr>
          <w:rFonts w:ascii="Century Gothic" w:hAnsi="Century Gothic"/>
          <w:sz w:val="20"/>
          <w:szCs w:val="20"/>
        </w:rPr>
      </w:pPr>
      <w:r w:rsidRPr="00C43EFC">
        <w:rPr>
          <w:rFonts w:ascii="Century Gothic" w:hAnsi="Century Gothic"/>
          <w:sz w:val="20"/>
          <w:szCs w:val="20"/>
        </w:rPr>
        <w:t>“Owning a home remains a major aspiration for most Kenyans. Our mission at NCBA is to remove barriers, guide customers with clarity, and provide innovative solutions that align with both financial and environmental sustainability.”</w:t>
      </w:r>
      <w:r>
        <w:rPr>
          <w:rFonts w:ascii="Century Gothic" w:hAnsi="Century Gothic"/>
          <w:sz w:val="20"/>
          <w:szCs w:val="20"/>
        </w:rPr>
        <w:t xml:space="preserve"> </w:t>
      </w:r>
      <w:r w:rsidRPr="00C43EFC">
        <w:rPr>
          <w:rFonts w:ascii="Century Gothic" w:hAnsi="Century Gothic"/>
          <w:sz w:val="20"/>
          <w:szCs w:val="20"/>
        </w:rPr>
        <w:t>Dennis Njau, Group Director, Retail Banking</w:t>
      </w:r>
    </w:p>
    <w:p w14:paraId="60F8986B" w14:textId="5F5D3A6F" w:rsidR="001F3A6C" w:rsidRPr="001F3A6C" w:rsidRDefault="001F3A6C" w:rsidP="001F3A6C">
      <w:pPr>
        <w:jc w:val="both"/>
        <w:rPr>
          <w:rFonts w:ascii="Century Gothic" w:hAnsi="Century Gothic"/>
          <w:sz w:val="20"/>
          <w:szCs w:val="20"/>
          <w:lang w:val="en-US"/>
        </w:rPr>
      </w:pPr>
      <w:r w:rsidRPr="001F3A6C">
        <w:rPr>
          <w:rFonts w:ascii="Century Gothic" w:hAnsi="Century Gothic"/>
          <w:sz w:val="20"/>
          <w:szCs w:val="20"/>
          <w:lang w:val="en-US"/>
        </w:rPr>
        <w:t>“From our green energy financing to electric buses for this tour, we are walking the talk on sustainability</w:t>
      </w:r>
      <w:r>
        <w:rPr>
          <w:rFonts w:ascii="Century Gothic" w:hAnsi="Century Gothic"/>
          <w:sz w:val="20"/>
          <w:szCs w:val="20"/>
          <w:lang w:val="en-US"/>
        </w:rPr>
        <w:t xml:space="preserve"> </w:t>
      </w:r>
      <w:r w:rsidRPr="001F3A6C">
        <w:rPr>
          <w:rFonts w:ascii="Century Gothic" w:hAnsi="Century Gothic"/>
          <w:sz w:val="20"/>
          <w:szCs w:val="20"/>
          <w:lang w:val="en-US"/>
        </w:rPr>
        <w:t>while empowering more Kenyans to take confident steps toward homeownership.”</w:t>
      </w:r>
    </w:p>
    <w:p w14:paraId="4A65DBED" w14:textId="4C317D33" w:rsidR="00C43EFC" w:rsidRPr="00C43EFC" w:rsidRDefault="00C43EFC" w:rsidP="00C43EFC">
      <w:pPr>
        <w:jc w:val="both"/>
        <w:rPr>
          <w:rFonts w:ascii="Century Gothic" w:hAnsi="Century Gothic"/>
          <w:sz w:val="20"/>
          <w:szCs w:val="20"/>
        </w:rPr>
      </w:pPr>
      <w:r w:rsidRPr="00C43EFC">
        <w:rPr>
          <w:rFonts w:ascii="Century Gothic" w:hAnsi="Century Gothic"/>
          <w:sz w:val="20"/>
          <w:szCs w:val="20"/>
        </w:rPr>
        <w:t>Beyond property tours and financing education, NCBA showcased its complete suite of Property Finance solutions, ensuring customers can secure, insure, power, and improve their homes</w:t>
      </w:r>
      <w:r>
        <w:rPr>
          <w:rFonts w:ascii="Century Gothic" w:hAnsi="Century Gothic"/>
          <w:sz w:val="20"/>
          <w:szCs w:val="20"/>
        </w:rPr>
        <w:t xml:space="preserve"> </w:t>
      </w:r>
      <w:r w:rsidRPr="00C43EFC">
        <w:rPr>
          <w:rFonts w:ascii="Century Gothic" w:hAnsi="Century Gothic"/>
          <w:sz w:val="20"/>
          <w:szCs w:val="20"/>
        </w:rPr>
        <w:t>all under one roof.</w:t>
      </w:r>
      <w:r>
        <w:rPr>
          <w:rFonts w:ascii="Century Gothic" w:hAnsi="Century Gothic"/>
          <w:sz w:val="20"/>
          <w:szCs w:val="20"/>
        </w:rPr>
        <w:t xml:space="preserve"> These include:</w:t>
      </w:r>
    </w:p>
    <w:p w14:paraId="356D6950" w14:textId="175D3000" w:rsidR="65E52624" w:rsidRPr="008C56C9" w:rsidRDefault="65E52624" w:rsidP="581EA7FC">
      <w:pPr>
        <w:pStyle w:val="Heading3"/>
        <w:spacing w:before="246" w:after="246" w:line="300" w:lineRule="auto"/>
        <w:jc w:val="both"/>
        <w:rPr>
          <w:rFonts w:ascii="Century Gothic" w:eastAsia="Century Gothic" w:hAnsi="Century Gothic" w:cs="Century Gothic"/>
          <w:b/>
          <w:bCs/>
          <w:color w:val="auto"/>
          <w:sz w:val="20"/>
          <w:szCs w:val="20"/>
        </w:rPr>
      </w:pPr>
      <w:r w:rsidRPr="008C56C9">
        <w:rPr>
          <w:rFonts w:ascii="Century Gothic" w:eastAsia="Century Gothic" w:hAnsi="Century Gothic" w:cs="Century Gothic"/>
          <w:b/>
          <w:bCs/>
          <w:color w:val="auto"/>
          <w:sz w:val="20"/>
          <w:szCs w:val="20"/>
        </w:rPr>
        <w:t>Home Financing Solutions</w:t>
      </w:r>
    </w:p>
    <w:p w14:paraId="5DB3B18A" w14:textId="5B644DD8"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Mortgage for completed properties</w:t>
      </w:r>
    </w:p>
    <w:p w14:paraId="63D716F4" w14:textId="689829DC"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Plot purchase loans</w:t>
      </w:r>
    </w:p>
    <w:p w14:paraId="5C1F9702" w14:textId="555D7674"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Construction loans</w:t>
      </w:r>
    </w:p>
    <w:p w14:paraId="60521D45" w14:textId="3E037B1A"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Buy</w:t>
      </w:r>
      <w:r w:rsidRPr="008C56C9">
        <w:rPr>
          <w:rFonts w:ascii="Cambria Math" w:eastAsia="Century Gothic" w:hAnsi="Cambria Math" w:cs="Cambria Math"/>
          <w:sz w:val="20"/>
          <w:szCs w:val="20"/>
        </w:rPr>
        <w:t>‑</w:t>
      </w:r>
      <w:r w:rsidRPr="008C56C9">
        <w:rPr>
          <w:rFonts w:ascii="Century Gothic" w:eastAsia="Century Gothic" w:hAnsi="Century Gothic" w:cs="Century Gothic"/>
          <w:sz w:val="20"/>
          <w:szCs w:val="20"/>
        </w:rPr>
        <w:t>and</w:t>
      </w:r>
      <w:r w:rsidRPr="008C56C9">
        <w:rPr>
          <w:rFonts w:ascii="Cambria Math" w:eastAsia="Century Gothic" w:hAnsi="Cambria Math" w:cs="Cambria Math"/>
          <w:sz w:val="20"/>
          <w:szCs w:val="20"/>
        </w:rPr>
        <w:t>‑</w:t>
      </w:r>
      <w:r w:rsidRPr="008C56C9">
        <w:rPr>
          <w:rFonts w:ascii="Century Gothic" w:eastAsia="Century Gothic" w:hAnsi="Century Gothic" w:cs="Century Gothic"/>
          <w:sz w:val="20"/>
          <w:szCs w:val="20"/>
        </w:rPr>
        <w:t>build packages</w:t>
      </w:r>
    </w:p>
    <w:p w14:paraId="38BCD563" w14:textId="1D6F77E2"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Mortgage transfers &amp; top</w:t>
      </w:r>
      <w:r w:rsidRPr="008C56C9">
        <w:rPr>
          <w:rFonts w:ascii="Cambria Math" w:eastAsia="Century Gothic" w:hAnsi="Cambria Math" w:cs="Cambria Math"/>
          <w:sz w:val="20"/>
          <w:szCs w:val="20"/>
        </w:rPr>
        <w:t>‑</w:t>
      </w:r>
      <w:r w:rsidRPr="008C56C9">
        <w:rPr>
          <w:rFonts w:ascii="Century Gothic" w:eastAsia="Century Gothic" w:hAnsi="Century Gothic" w:cs="Century Gothic"/>
          <w:sz w:val="20"/>
          <w:szCs w:val="20"/>
        </w:rPr>
        <w:t>ups</w:t>
      </w:r>
    </w:p>
    <w:p w14:paraId="1D85C476" w14:textId="481BAA75"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Equity release</w:t>
      </w:r>
    </w:p>
    <w:p w14:paraId="184766F9" w14:textId="324ACCA1" w:rsidR="65E52624" w:rsidRPr="008C56C9" w:rsidRDefault="65E52624" w:rsidP="581EA7FC">
      <w:pPr>
        <w:pStyle w:val="ListParagraph"/>
        <w:numPr>
          <w:ilvl w:val="0"/>
          <w:numId w:val="2"/>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b/>
          <w:bCs/>
          <w:sz w:val="20"/>
          <w:szCs w:val="20"/>
        </w:rPr>
        <w:t>105% Own-Your-Own-Home Mortgage</w:t>
      </w:r>
      <w:r w:rsidRPr="008C56C9">
        <w:rPr>
          <w:rFonts w:ascii="Century Gothic" w:eastAsia="Century Gothic" w:hAnsi="Century Gothic" w:cs="Century Gothic"/>
          <w:sz w:val="20"/>
          <w:szCs w:val="20"/>
        </w:rPr>
        <w:t>, eliminating traditional upfront costs</w:t>
      </w:r>
    </w:p>
    <w:p w14:paraId="460DD9A5" w14:textId="6F7A0CBD" w:rsidR="65E52624" w:rsidRPr="008C56C9" w:rsidRDefault="65E52624" w:rsidP="581EA7FC">
      <w:pPr>
        <w:pStyle w:val="Heading3"/>
        <w:spacing w:before="246" w:after="246" w:line="300" w:lineRule="auto"/>
        <w:jc w:val="both"/>
        <w:rPr>
          <w:rFonts w:ascii="Century Gothic" w:eastAsia="Century Gothic" w:hAnsi="Century Gothic" w:cs="Century Gothic"/>
          <w:b/>
          <w:bCs/>
          <w:color w:val="auto"/>
          <w:sz w:val="20"/>
          <w:szCs w:val="20"/>
        </w:rPr>
      </w:pPr>
      <w:r w:rsidRPr="008C56C9">
        <w:rPr>
          <w:rFonts w:ascii="Century Gothic" w:eastAsia="Century Gothic" w:hAnsi="Century Gothic" w:cs="Century Gothic"/>
          <w:b/>
          <w:bCs/>
          <w:color w:val="auto"/>
          <w:sz w:val="20"/>
          <w:szCs w:val="20"/>
        </w:rPr>
        <w:t>Home Protection &amp; Enhancement Solutions</w:t>
      </w:r>
    </w:p>
    <w:p w14:paraId="2BD5F45A" w14:textId="2E7C9D51" w:rsidR="65E52624" w:rsidRPr="008C56C9" w:rsidRDefault="65E52624" w:rsidP="581EA7FC">
      <w:pPr>
        <w:pStyle w:val="ListParagraph"/>
        <w:numPr>
          <w:ilvl w:val="0"/>
          <w:numId w:val="1"/>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b/>
          <w:bCs/>
          <w:sz w:val="20"/>
          <w:szCs w:val="20"/>
        </w:rPr>
        <w:t>Home Insurance</w:t>
      </w:r>
      <w:r w:rsidRPr="008C56C9">
        <w:rPr>
          <w:rFonts w:ascii="Century Gothic" w:eastAsia="Century Gothic" w:hAnsi="Century Gothic" w:cs="Century Gothic"/>
          <w:sz w:val="20"/>
          <w:szCs w:val="20"/>
        </w:rPr>
        <w:t xml:space="preserve"> (house + contents)</w:t>
      </w:r>
    </w:p>
    <w:p w14:paraId="4F301419" w14:textId="7200E5E5" w:rsidR="65E52624" w:rsidRDefault="65E52624" w:rsidP="581EA7FC">
      <w:pPr>
        <w:pStyle w:val="ListParagraph"/>
        <w:numPr>
          <w:ilvl w:val="0"/>
          <w:numId w:val="1"/>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b/>
          <w:bCs/>
          <w:sz w:val="20"/>
          <w:szCs w:val="20"/>
        </w:rPr>
        <w:t>Home Improvement Loans</w:t>
      </w:r>
      <w:r w:rsidRPr="008C56C9">
        <w:rPr>
          <w:rFonts w:ascii="Century Gothic" w:eastAsia="Century Gothic" w:hAnsi="Century Gothic" w:cs="Century Gothic"/>
          <w:sz w:val="20"/>
          <w:szCs w:val="20"/>
        </w:rPr>
        <w:t xml:space="preserve"> for renovations, upgrades, or extensions</w:t>
      </w:r>
    </w:p>
    <w:p w14:paraId="2676C3CC" w14:textId="5C87C936" w:rsidR="00C43EFC" w:rsidRPr="00C43EFC" w:rsidRDefault="00C43EFC" w:rsidP="00C43EFC">
      <w:pPr>
        <w:pStyle w:val="ListParagraph"/>
        <w:numPr>
          <w:ilvl w:val="0"/>
          <w:numId w:val="1"/>
        </w:numPr>
        <w:spacing w:line="300" w:lineRule="auto"/>
        <w:jc w:val="both"/>
        <w:rPr>
          <w:rFonts w:ascii="Century Gothic" w:eastAsia="Century Gothic" w:hAnsi="Century Gothic" w:cs="Century Gothic"/>
          <w:sz w:val="20"/>
          <w:szCs w:val="20"/>
          <w:lang w:val="en-US"/>
        </w:rPr>
      </w:pPr>
      <w:r w:rsidRPr="00C43EFC">
        <w:rPr>
          <w:rFonts w:ascii="Century Gothic" w:eastAsia="Century Gothic" w:hAnsi="Century Gothic" w:cs="Century Gothic"/>
          <w:b/>
          <w:bCs/>
          <w:sz w:val="20"/>
          <w:szCs w:val="20"/>
          <w:lang w:val="en-US"/>
        </w:rPr>
        <w:lastRenderedPageBreak/>
        <w:t>Solar Leasing (Green Energy Financing)</w:t>
      </w:r>
      <w:r w:rsidRPr="00C43EFC">
        <w:rPr>
          <w:rFonts w:ascii="Century Gothic" w:eastAsia="Century Gothic" w:hAnsi="Century Gothic" w:cs="Century Gothic"/>
          <w:sz w:val="20"/>
          <w:szCs w:val="20"/>
          <w:lang w:val="en-US"/>
        </w:rPr>
        <w:t xml:space="preserve"> </w:t>
      </w:r>
    </w:p>
    <w:p w14:paraId="4E674678" w14:textId="39CC6CD3" w:rsidR="65E52624" w:rsidRPr="008C56C9" w:rsidRDefault="65E52624" w:rsidP="581EA7FC">
      <w:pPr>
        <w:pStyle w:val="ListParagraph"/>
        <w:numPr>
          <w:ilvl w:val="0"/>
          <w:numId w:val="1"/>
        </w:numPr>
        <w:spacing w:after="0" w:line="300" w:lineRule="auto"/>
        <w:jc w:val="both"/>
        <w:rPr>
          <w:rFonts w:ascii="Century Gothic" w:eastAsia="Century Gothic" w:hAnsi="Century Gothic" w:cs="Century Gothic"/>
          <w:sz w:val="20"/>
          <w:szCs w:val="20"/>
        </w:rPr>
      </w:pPr>
      <w:r w:rsidRPr="008C56C9">
        <w:rPr>
          <w:rFonts w:ascii="Century Gothic" w:eastAsia="Century Gothic" w:hAnsi="Century Gothic" w:cs="Century Gothic"/>
          <w:sz w:val="20"/>
          <w:szCs w:val="20"/>
        </w:rPr>
        <w:t>Insurance premium financing options</w:t>
      </w:r>
    </w:p>
    <w:p w14:paraId="5F4B1BBF" w14:textId="3EDAF58B" w:rsidR="00C43EFC" w:rsidRPr="00C43EFC" w:rsidRDefault="00C43EFC" w:rsidP="00C43EFC">
      <w:pPr>
        <w:spacing w:before="100" w:beforeAutospacing="1" w:after="100" w:afterAutospacing="1" w:line="300" w:lineRule="atLeast"/>
        <w:rPr>
          <w:rFonts w:ascii="Century Gothic" w:eastAsia="Century Gothic" w:hAnsi="Century Gothic" w:cs="Century Gothic"/>
          <w:sz w:val="21"/>
          <w:szCs w:val="21"/>
        </w:rPr>
      </w:pPr>
      <w:r w:rsidRPr="00C43EFC">
        <w:rPr>
          <w:rFonts w:ascii="Century Gothic" w:eastAsia="Century Gothic" w:hAnsi="Century Gothic" w:cs="Century Gothic"/>
          <w:sz w:val="21"/>
          <w:szCs w:val="21"/>
        </w:rPr>
        <w:t>With this ecosystem, NCBA continues to champion a holistic approach to homeownership</w:t>
      </w:r>
      <w:r>
        <w:rPr>
          <w:rFonts w:ascii="Century Gothic" w:eastAsia="Century Gothic" w:hAnsi="Century Gothic" w:cs="Century Gothic"/>
          <w:sz w:val="21"/>
          <w:szCs w:val="21"/>
        </w:rPr>
        <w:t xml:space="preserve"> </w:t>
      </w:r>
      <w:r w:rsidRPr="00C43EFC">
        <w:rPr>
          <w:rFonts w:ascii="Century Gothic" w:eastAsia="Century Gothic" w:hAnsi="Century Gothic" w:cs="Century Gothic"/>
          <w:sz w:val="21"/>
          <w:szCs w:val="21"/>
        </w:rPr>
        <w:t>providing financing, protection, and sustainable energy solutions in a single, seamless offering.</w:t>
      </w:r>
    </w:p>
    <w:p w14:paraId="73F2A86A" w14:textId="12563E25" w:rsidR="5C17DEDA" w:rsidRDefault="004F02F3" w:rsidP="581EA7FC">
      <w:pPr>
        <w:spacing w:before="210" w:after="210" w:line="300" w:lineRule="auto"/>
        <w:jc w:val="both"/>
        <w:rPr>
          <w:rFonts w:ascii="Century Gothic" w:eastAsia="Century Gothic" w:hAnsi="Century Gothic" w:cs="Century Gothic"/>
        </w:rPr>
      </w:pPr>
      <w:r>
        <w:rPr>
          <w:rFonts w:ascii="Century Gothic" w:eastAsia="Century Gothic" w:hAnsi="Century Gothic" w:cs="Century Gothic"/>
          <w:sz w:val="21"/>
          <w:szCs w:val="21"/>
        </w:rPr>
        <w:t xml:space="preserve">According to the Kenya Property Index report 2025, </w:t>
      </w:r>
      <w:r w:rsidR="5C17DEDA" w:rsidRPr="581EA7FC">
        <w:rPr>
          <w:rFonts w:ascii="Century Gothic" w:eastAsia="Century Gothic" w:hAnsi="Century Gothic" w:cs="Century Gothic"/>
          <w:sz w:val="21"/>
          <w:szCs w:val="21"/>
        </w:rPr>
        <w:t xml:space="preserve">Kenya faces an </w:t>
      </w:r>
      <w:r w:rsidR="5C17DEDA" w:rsidRPr="581EA7FC">
        <w:rPr>
          <w:rFonts w:ascii="Century Gothic" w:eastAsia="Century Gothic" w:hAnsi="Century Gothic" w:cs="Century Gothic"/>
          <w:b/>
          <w:bCs/>
          <w:sz w:val="21"/>
          <w:szCs w:val="21"/>
        </w:rPr>
        <w:t>annual housing shortfall of over 200,000 units</w:t>
      </w:r>
      <w:r w:rsidR="5C17DEDA" w:rsidRPr="581EA7FC">
        <w:rPr>
          <w:rFonts w:ascii="Century Gothic" w:eastAsia="Century Gothic" w:hAnsi="Century Gothic" w:cs="Century Gothic"/>
          <w:sz w:val="21"/>
          <w:szCs w:val="21"/>
        </w:rPr>
        <w:t xml:space="preserve">, with only about 50,000 new units delivered per year against a demand of 250,000. Urban dwellers also remain predominantly renters, with </w:t>
      </w:r>
      <w:r w:rsidR="5C17DEDA" w:rsidRPr="581EA7FC">
        <w:rPr>
          <w:rFonts w:ascii="Century Gothic" w:eastAsia="Century Gothic" w:hAnsi="Century Gothic" w:cs="Century Gothic"/>
          <w:b/>
          <w:bCs/>
          <w:sz w:val="21"/>
          <w:szCs w:val="21"/>
        </w:rPr>
        <w:t>73% renting and only 23% owning</w:t>
      </w:r>
      <w:r w:rsidR="5C17DEDA" w:rsidRPr="581EA7FC">
        <w:rPr>
          <w:rFonts w:ascii="Century Gothic" w:eastAsia="Century Gothic" w:hAnsi="Century Gothic" w:cs="Century Gothic"/>
          <w:sz w:val="21"/>
          <w:szCs w:val="21"/>
        </w:rPr>
        <w:t>.</w:t>
      </w:r>
    </w:p>
    <w:p w14:paraId="5F971EBE" w14:textId="334097F2" w:rsidR="5C17DEDA" w:rsidRDefault="5C17DEDA" w:rsidP="581EA7FC">
      <w:pPr>
        <w:spacing w:before="210" w:after="210" w:line="300" w:lineRule="auto"/>
        <w:jc w:val="both"/>
        <w:rPr>
          <w:rFonts w:ascii="Century Gothic" w:eastAsia="Century Gothic" w:hAnsi="Century Gothic" w:cs="Century Gothic"/>
          <w:sz w:val="21"/>
          <w:szCs w:val="21"/>
        </w:rPr>
      </w:pPr>
      <w:r w:rsidRPr="581EA7FC">
        <w:rPr>
          <w:rFonts w:ascii="Century Gothic" w:eastAsia="Century Gothic" w:hAnsi="Century Gothic" w:cs="Century Gothic"/>
          <w:sz w:val="21"/>
          <w:szCs w:val="21"/>
        </w:rPr>
        <w:t>Against this backdrop, NCBA’s Property Investment Tour provides practical exposure and financial empowerment, helping customers make informed decisions at a time when many feel locked out of the market.</w:t>
      </w:r>
    </w:p>
    <w:p w14:paraId="61235D9E" w14:textId="44B27068" w:rsidR="001F3A6C" w:rsidRPr="001F3A6C" w:rsidRDefault="005561E9" w:rsidP="001F3A6C">
      <w:pPr>
        <w:jc w:val="both"/>
        <w:rPr>
          <w:rFonts w:ascii="Century Gothic" w:hAnsi="Century Gothic"/>
          <w:sz w:val="20"/>
          <w:szCs w:val="20"/>
          <w:lang w:val="en-US"/>
        </w:rPr>
      </w:pPr>
      <w:r w:rsidRPr="008C56C9">
        <w:rPr>
          <w:rFonts w:ascii="Century Gothic" w:hAnsi="Century Gothic"/>
          <w:sz w:val="20"/>
          <w:szCs w:val="20"/>
        </w:rPr>
        <w:t xml:space="preserve">Through education, access, and innovative </w:t>
      </w:r>
      <w:r w:rsidR="001F3A6C">
        <w:rPr>
          <w:rFonts w:ascii="Century Gothic" w:hAnsi="Century Gothic"/>
          <w:sz w:val="20"/>
          <w:szCs w:val="20"/>
        </w:rPr>
        <w:t xml:space="preserve">green </w:t>
      </w:r>
      <w:r w:rsidRPr="008C56C9">
        <w:rPr>
          <w:rFonts w:ascii="Century Gothic" w:hAnsi="Century Gothic"/>
          <w:sz w:val="20"/>
          <w:szCs w:val="20"/>
        </w:rPr>
        <w:t xml:space="preserve">financing solutions, NCBA continues to position itself not only as a lender </w:t>
      </w:r>
      <w:r w:rsidR="001F3A6C">
        <w:rPr>
          <w:rFonts w:ascii="Century Gothic" w:hAnsi="Century Gothic"/>
          <w:sz w:val="20"/>
          <w:szCs w:val="20"/>
          <w:lang w:val="en-US"/>
        </w:rPr>
        <w:t>but</w:t>
      </w:r>
      <w:r w:rsidR="001F3A6C" w:rsidRPr="001F3A6C">
        <w:rPr>
          <w:rFonts w:ascii="Century Gothic" w:hAnsi="Century Gothic"/>
          <w:sz w:val="20"/>
          <w:szCs w:val="20"/>
          <w:lang w:val="en-US"/>
        </w:rPr>
        <w:t xml:space="preserve"> </w:t>
      </w:r>
      <w:r w:rsidR="001F3A6C">
        <w:rPr>
          <w:rFonts w:ascii="Century Gothic" w:hAnsi="Century Gothic"/>
          <w:sz w:val="20"/>
          <w:szCs w:val="20"/>
          <w:lang w:val="en-US"/>
        </w:rPr>
        <w:t>a leader in</w:t>
      </w:r>
      <w:r w:rsidR="001F3A6C" w:rsidRPr="001F3A6C">
        <w:rPr>
          <w:rFonts w:ascii="Century Gothic" w:hAnsi="Century Gothic"/>
          <w:sz w:val="20"/>
          <w:szCs w:val="20"/>
          <w:lang w:val="en-US"/>
        </w:rPr>
        <w:t xml:space="preserve"> driving inclusive, sustainable, and climate</w:t>
      </w:r>
      <w:r w:rsidR="001F3A6C" w:rsidRPr="001F3A6C">
        <w:rPr>
          <w:rFonts w:ascii="Century Gothic" w:hAnsi="Century Gothic"/>
          <w:sz w:val="20"/>
          <w:szCs w:val="20"/>
          <w:lang w:val="en-US"/>
        </w:rPr>
        <w:noBreakHyphen/>
        <w:t>resilient communities across Kenya.</w:t>
      </w:r>
    </w:p>
    <w:p w14:paraId="33D1B83B" w14:textId="24CB68AB" w:rsidR="00A80775" w:rsidRPr="00F5708B" w:rsidRDefault="00A80775" w:rsidP="001F3A6C">
      <w:pPr>
        <w:jc w:val="both"/>
        <w:rPr>
          <w:rFonts w:ascii="Century Gothic" w:hAnsi="Century Gothic"/>
          <w:b/>
          <w:bCs/>
        </w:rPr>
      </w:pPr>
      <w:r w:rsidRPr="00F5708B">
        <w:rPr>
          <w:rFonts w:ascii="Century Gothic" w:hAnsi="Century Gothic"/>
          <w:b/>
          <w:bCs/>
        </w:rPr>
        <w:t xml:space="preserve">- Ends </w:t>
      </w:r>
      <w:r w:rsidR="00E02127" w:rsidRPr="00F5708B">
        <w:rPr>
          <w:rFonts w:ascii="Century Gothic" w:hAnsi="Century Gothic"/>
          <w:b/>
          <w:bCs/>
        </w:rPr>
        <w:t>–</w:t>
      </w:r>
    </w:p>
    <w:p w14:paraId="09DDC016" w14:textId="77777777" w:rsidR="00E02127" w:rsidRPr="00F5708B" w:rsidRDefault="00E02127" w:rsidP="00A80775">
      <w:pPr>
        <w:jc w:val="center"/>
        <w:rPr>
          <w:rFonts w:ascii="Century Gothic" w:hAnsi="Century Gothic"/>
          <w:b/>
          <w:bCs/>
        </w:rPr>
      </w:pPr>
    </w:p>
    <w:p w14:paraId="48BF906D" w14:textId="77777777" w:rsidR="00E02127" w:rsidRPr="008C56C9" w:rsidRDefault="00E02127" w:rsidP="00A80775">
      <w:pPr>
        <w:jc w:val="center"/>
        <w:rPr>
          <w:rFonts w:ascii="Century Gothic" w:hAnsi="Century Gothic"/>
          <w:b/>
          <w:bCs/>
          <w:sz w:val="20"/>
          <w:szCs w:val="20"/>
        </w:rPr>
      </w:pPr>
    </w:p>
    <w:p w14:paraId="0F957738" w14:textId="77777777" w:rsidR="00A80775" w:rsidRPr="008C56C9" w:rsidRDefault="00A80775" w:rsidP="00A80775">
      <w:pPr>
        <w:jc w:val="both"/>
        <w:rPr>
          <w:rFonts w:ascii="Century Gothic" w:hAnsi="Century Gothic"/>
          <w:sz w:val="20"/>
          <w:szCs w:val="20"/>
        </w:rPr>
      </w:pPr>
      <w:r w:rsidRPr="008C56C9">
        <w:rPr>
          <w:rFonts w:ascii="Century Gothic" w:hAnsi="Century Gothic"/>
          <w:b/>
          <w:bCs/>
          <w:sz w:val="20"/>
          <w:szCs w:val="20"/>
        </w:rPr>
        <w:t>For media enquiries, please contact:</w:t>
      </w:r>
      <w:r w:rsidRPr="008C56C9">
        <w:rPr>
          <w:rFonts w:ascii="Century Gothic" w:hAnsi="Century Gothic"/>
          <w:sz w:val="20"/>
          <w:szCs w:val="20"/>
        </w:rPr>
        <w:t> Nelly Wainaina | Group Director- Marketing, Communication and Citizenship | NCBA Nelly.Wainaina@ncbagroup.com | Tel: +254 711 056 444 </w:t>
      </w:r>
    </w:p>
    <w:p w14:paraId="740B5344" w14:textId="6E7E285D" w:rsidR="00A80775" w:rsidRPr="008C56C9" w:rsidRDefault="00A80775" w:rsidP="00A80775">
      <w:pPr>
        <w:jc w:val="both"/>
        <w:rPr>
          <w:rFonts w:ascii="Century Gothic" w:hAnsi="Century Gothic"/>
          <w:sz w:val="20"/>
          <w:szCs w:val="20"/>
        </w:rPr>
      </w:pPr>
      <w:r w:rsidRPr="008C56C9">
        <w:rPr>
          <w:rFonts w:ascii="Century Gothic" w:hAnsi="Century Gothic"/>
          <w:b/>
          <w:bCs/>
          <w:sz w:val="20"/>
          <w:szCs w:val="20"/>
        </w:rPr>
        <w:t>About NCBA Group:</w:t>
      </w:r>
      <w:r w:rsidRPr="008C56C9">
        <w:rPr>
          <w:rFonts w:ascii="Century Gothic" w:hAnsi="Century Gothic"/>
          <w:sz w:val="20"/>
          <w:szCs w:val="20"/>
        </w:rPr>
        <w:t> </w:t>
      </w:r>
      <w:r w:rsidR="00067ADE" w:rsidRPr="008C56C9">
        <w:rPr>
          <w:rFonts w:ascii="Century Gothic" w:hAnsi="Century Gothic"/>
          <w:sz w:val="20"/>
          <w:szCs w:val="20"/>
        </w:rPr>
        <w:t>NCBA Group is a full-service banking group providing a broad range of financial products and services to corporate, institutional, SME and consumer banking customers. NCBA Group operates a network of over 100 branches across five countries, including Kenya, Uganda, Tanzania, Rwanda, and the Ivory Coast. Serving over 60 million customers, the NCBA Group is the largest banking group in Africa by customer numbers. NCBA Bank Kenya PLC is one of the leading banks in terms of assets. The Bank continues to play a key role in supporting Africa's economic ambitions. The Bank is a Market Leader in Corporate Banking, Asset Finance and Digital Banking.</w:t>
      </w:r>
    </w:p>
    <w:p w14:paraId="03586021" w14:textId="77777777" w:rsidR="00A80775" w:rsidRPr="00040D96" w:rsidRDefault="00A80775" w:rsidP="00A80775">
      <w:pPr>
        <w:pStyle w:val="ListParagraph"/>
        <w:ind w:left="0"/>
        <w:rPr>
          <w:rFonts w:ascii="Century Gothic" w:hAnsi="Century Gothic"/>
          <w:b/>
          <w:bCs/>
          <w:sz w:val="22"/>
          <w:szCs w:val="22"/>
        </w:rPr>
      </w:pPr>
    </w:p>
    <w:sectPr w:rsidR="00A80775" w:rsidRPr="00040D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667C" w14:textId="77777777" w:rsidR="003544D8" w:rsidRPr="00F5708B" w:rsidRDefault="003544D8" w:rsidP="00A80775">
      <w:pPr>
        <w:spacing w:after="0" w:line="240" w:lineRule="auto"/>
      </w:pPr>
      <w:r w:rsidRPr="00F5708B">
        <w:separator/>
      </w:r>
    </w:p>
  </w:endnote>
  <w:endnote w:type="continuationSeparator" w:id="0">
    <w:p w14:paraId="319E7EC7" w14:textId="77777777" w:rsidR="003544D8" w:rsidRPr="00F5708B" w:rsidRDefault="003544D8" w:rsidP="00A80775">
      <w:pPr>
        <w:spacing w:after="0" w:line="240" w:lineRule="auto"/>
      </w:pPr>
      <w:r w:rsidRPr="00F570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9FC2" w14:textId="77777777" w:rsidR="003544D8" w:rsidRPr="00F5708B" w:rsidRDefault="003544D8" w:rsidP="00A80775">
      <w:pPr>
        <w:spacing w:after="0" w:line="240" w:lineRule="auto"/>
      </w:pPr>
      <w:r w:rsidRPr="00F5708B">
        <w:separator/>
      </w:r>
    </w:p>
  </w:footnote>
  <w:footnote w:type="continuationSeparator" w:id="0">
    <w:p w14:paraId="1FD0B9E0" w14:textId="77777777" w:rsidR="003544D8" w:rsidRPr="00F5708B" w:rsidRDefault="003544D8" w:rsidP="00A80775">
      <w:pPr>
        <w:spacing w:after="0" w:line="240" w:lineRule="auto"/>
      </w:pPr>
      <w:r w:rsidRPr="00F570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D94B" w14:textId="4D4B92D5" w:rsidR="00A80775" w:rsidRPr="00F5708B" w:rsidRDefault="00A80775" w:rsidP="00A80775">
    <w:pPr>
      <w:pStyle w:val="Header"/>
      <w:jc w:val="right"/>
    </w:pPr>
    <w:r w:rsidRPr="00F5708B">
      <w:rPr>
        <w:noProof/>
      </w:rPr>
      <w:drawing>
        <wp:inline distT="0" distB="0" distL="0" distR="0" wp14:anchorId="674CE253" wp14:editId="0B93680B">
          <wp:extent cx="1198880" cy="386715"/>
          <wp:effectExtent l="0" t="0" r="1270" b="0"/>
          <wp:docPr id="561192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92778"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1533" cy="387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643A"/>
    <w:multiLevelType w:val="hybridMultilevel"/>
    <w:tmpl w:val="B1BC2536"/>
    <w:lvl w:ilvl="0" w:tplc="2CB8DAB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1AA4B"/>
    <w:multiLevelType w:val="hybridMultilevel"/>
    <w:tmpl w:val="818659FE"/>
    <w:lvl w:ilvl="0" w:tplc="E9564F1C">
      <w:start w:val="1"/>
      <w:numFmt w:val="bullet"/>
      <w:lvlText w:val=""/>
      <w:lvlJc w:val="left"/>
      <w:pPr>
        <w:ind w:left="720" w:hanging="360"/>
      </w:pPr>
      <w:rPr>
        <w:rFonts w:ascii="Symbol" w:hAnsi="Symbol" w:hint="default"/>
      </w:rPr>
    </w:lvl>
    <w:lvl w:ilvl="1" w:tplc="7D000FFC">
      <w:start w:val="1"/>
      <w:numFmt w:val="bullet"/>
      <w:lvlText w:val="o"/>
      <w:lvlJc w:val="left"/>
      <w:pPr>
        <w:ind w:left="1440" w:hanging="360"/>
      </w:pPr>
      <w:rPr>
        <w:rFonts w:ascii="Courier New" w:hAnsi="Courier New" w:hint="default"/>
      </w:rPr>
    </w:lvl>
    <w:lvl w:ilvl="2" w:tplc="ADB45E42">
      <w:start w:val="1"/>
      <w:numFmt w:val="bullet"/>
      <w:lvlText w:val=""/>
      <w:lvlJc w:val="left"/>
      <w:pPr>
        <w:ind w:left="2160" w:hanging="360"/>
      </w:pPr>
      <w:rPr>
        <w:rFonts w:ascii="Wingdings" w:hAnsi="Wingdings" w:hint="default"/>
      </w:rPr>
    </w:lvl>
    <w:lvl w:ilvl="3" w:tplc="A560D558">
      <w:start w:val="1"/>
      <w:numFmt w:val="bullet"/>
      <w:lvlText w:val=""/>
      <w:lvlJc w:val="left"/>
      <w:pPr>
        <w:ind w:left="2880" w:hanging="360"/>
      </w:pPr>
      <w:rPr>
        <w:rFonts w:ascii="Symbol" w:hAnsi="Symbol" w:hint="default"/>
      </w:rPr>
    </w:lvl>
    <w:lvl w:ilvl="4" w:tplc="33664936">
      <w:start w:val="1"/>
      <w:numFmt w:val="bullet"/>
      <w:lvlText w:val="o"/>
      <w:lvlJc w:val="left"/>
      <w:pPr>
        <w:ind w:left="3600" w:hanging="360"/>
      </w:pPr>
      <w:rPr>
        <w:rFonts w:ascii="Courier New" w:hAnsi="Courier New" w:hint="default"/>
      </w:rPr>
    </w:lvl>
    <w:lvl w:ilvl="5" w:tplc="1BDAF368">
      <w:start w:val="1"/>
      <w:numFmt w:val="bullet"/>
      <w:lvlText w:val=""/>
      <w:lvlJc w:val="left"/>
      <w:pPr>
        <w:ind w:left="4320" w:hanging="360"/>
      </w:pPr>
      <w:rPr>
        <w:rFonts w:ascii="Wingdings" w:hAnsi="Wingdings" w:hint="default"/>
      </w:rPr>
    </w:lvl>
    <w:lvl w:ilvl="6" w:tplc="77741A42">
      <w:start w:val="1"/>
      <w:numFmt w:val="bullet"/>
      <w:lvlText w:val=""/>
      <w:lvlJc w:val="left"/>
      <w:pPr>
        <w:ind w:left="5040" w:hanging="360"/>
      </w:pPr>
      <w:rPr>
        <w:rFonts w:ascii="Symbol" w:hAnsi="Symbol" w:hint="default"/>
      </w:rPr>
    </w:lvl>
    <w:lvl w:ilvl="7" w:tplc="A16415EA">
      <w:start w:val="1"/>
      <w:numFmt w:val="bullet"/>
      <w:lvlText w:val="o"/>
      <w:lvlJc w:val="left"/>
      <w:pPr>
        <w:ind w:left="5760" w:hanging="360"/>
      </w:pPr>
      <w:rPr>
        <w:rFonts w:ascii="Courier New" w:hAnsi="Courier New" w:hint="default"/>
      </w:rPr>
    </w:lvl>
    <w:lvl w:ilvl="8" w:tplc="2E781B5C">
      <w:start w:val="1"/>
      <w:numFmt w:val="bullet"/>
      <w:lvlText w:val=""/>
      <w:lvlJc w:val="left"/>
      <w:pPr>
        <w:ind w:left="6480" w:hanging="360"/>
      </w:pPr>
      <w:rPr>
        <w:rFonts w:ascii="Wingdings" w:hAnsi="Wingdings" w:hint="default"/>
      </w:rPr>
    </w:lvl>
  </w:abstractNum>
  <w:abstractNum w:abstractNumId="2" w15:restartNumberingAfterBreak="0">
    <w:nsid w:val="47F80BAD"/>
    <w:multiLevelType w:val="hybridMultilevel"/>
    <w:tmpl w:val="95FEDBC2"/>
    <w:lvl w:ilvl="0" w:tplc="60865184">
      <w:start w:val="1"/>
      <w:numFmt w:val="decimal"/>
      <w:lvlText w:val="%1."/>
      <w:lvlJc w:val="left"/>
      <w:pPr>
        <w:ind w:left="720" w:hanging="360"/>
      </w:pPr>
    </w:lvl>
    <w:lvl w:ilvl="1" w:tplc="B94AD7C2">
      <w:start w:val="1"/>
      <w:numFmt w:val="lowerLetter"/>
      <w:lvlText w:val="%2."/>
      <w:lvlJc w:val="left"/>
      <w:pPr>
        <w:ind w:left="1440" w:hanging="360"/>
      </w:pPr>
    </w:lvl>
    <w:lvl w:ilvl="2" w:tplc="ABC88A0E">
      <w:start w:val="1"/>
      <w:numFmt w:val="lowerRoman"/>
      <w:lvlText w:val="%3."/>
      <w:lvlJc w:val="right"/>
      <w:pPr>
        <w:ind w:left="2160" w:hanging="180"/>
      </w:pPr>
    </w:lvl>
    <w:lvl w:ilvl="3" w:tplc="A970B95E">
      <w:start w:val="1"/>
      <w:numFmt w:val="decimal"/>
      <w:lvlText w:val="%4."/>
      <w:lvlJc w:val="left"/>
      <w:pPr>
        <w:ind w:left="2880" w:hanging="360"/>
      </w:pPr>
    </w:lvl>
    <w:lvl w:ilvl="4" w:tplc="D930C912">
      <w:start w:val="1"/>
      <w:numFmt w:val="lowerLetter"/>
      <w:lvlText w:val="%5."/>
      <w:lvlJc w:val="left"/>
      <w:pPr>
        <w:ind w:left="3600" w:hanging="360"/>
      </w:pPr>
    </w:lvl>
    <w:lvl w:ilvl="5" w:tplc="3C227230">
      <w:start w:val="1"/>
      <w:numFmt w:val="lowerRoman"/>
      <w:lvlText w:val="%6."/>
      <w:lvlJc w:val="right"/>
      <w:pPr>
        <w:ind w:left="4320" w:hanging="180"/>
      </w:pPr>
    </w:lvl>
    <w:lvl w:ilvl="6" w:tplc="FCD2A0F0">
      <w:start w:val="1"/>
      <w:numFmt w:val="decimal"/>
      <w:lvlText w:val="%7."/>
      <w:lvlJc w:val="left"/>
      <w:pPr>
        <w:ind w:left="5040" w:hanging="360"/>
      </w:pPr>
    </w:lvl>
    <w:lvl w:ilvl="7" w:tplc="9D38DEEA">
      <w:start w:val="1"/>
      <w:numFmt w:val="lowerLetter"/>
      <w:lvlText w:val="%8."/>
      <w:lvlJc w:val="left"/>
      <w:pPr>
        <w:ind w:left="5760" w:hanging="360"/>
      </w:pPr>
    </w:lvl>
    <w:lvl w:ilvl="8" w:tplc="42CCEB2A">
      <w:start w:val="1"/>
      <w:numFmt w:val="lowerRoman"/>
      <w:lvlText w:val="%9."/>
      <w:lvlJc w:val="right"/>
      <w:pPr>
        <w:ind w:left="6480" w:hanging="180"/>
      </w:pPr>
    </w:lvl>
  </w:abstractNum>
  <w:abstractNum w:abstractNumId="3" w15:restartNumberingAfterBreak="0">
    <w:nsid w:val="53B34E32"/>
    <w:multiLevelType w:val="hybridMultilevel"/>
    <w:tmpl w:val="13CAA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462968"/>
    <w:multiLevelType w:val="multilevel"/>
    <w:tmpl w:val="50E6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E10C13"/>
    <w:multiLevelType w:val="hybridMultilevel"/>
    <w:tmpl w:val="DF72D8AA"/>
    <w:lvl w:ilvl="0" w:tplc="7E0E8080">
      <w:start w:val="1"/>
      <w:numFmt w:val="bullet"/>
      <w:lvlText w:val=""/>
      <w:lvlJc w:val="left"/>
      <w:pPr>
        <w:ind w:left="720" w:hanging="360"/>
      </w:pPr>
      <w:rPr>
        <w:rFonts w:ascii="Symbol" w:hAnsi="Symbol" w:hint="default"/>
      </w:rPr>
    </w:lvl>
    <w:lvl w:ilvl="1" w:tplc="47C6DBD8">
      <w:start w:val="1"/>
      <w:numFmt w:val="bullet"/>
      <w:lvlText w:val="o"/>
      <w:lvlJc w:val="left"/>
      <w:pPr>
        <w:ind w:left="1440" w:hanging="360"/>
      </w:pPr>
      <w:rPr>
        <w:rFonts w:ascii="Courier New" w:hAnsi="Courier New" w:hint="default"/>
      </w:rPr>
    </w:lvl>
    <w:lvl w:ilvl="2" w:tplc="68A0501A">
      <w:start w:val="1"/>
      <w:numFmt w:val="bullet"/>
      <w:lvlText w:val=""/>
      <w:lvlJc w:val="left"/>
      <w:pPr>
        <w:ind w:left="2160" w:hanging="360"/>
      </w:pPr>
      <w:rPr>
        <w:rFonts w:ascii="Wingdings" w:hAnsi="Wingdings" w:hint="default"/>
      </w:rPr>
    </w:lvl>
    <w:lvl w:ilvl="3" w:tplc="4D2E55DC">
      <w:start w:val="1"/>
      <w:numFmt w:val="bullet"/>
      <w:lvlText w:val=""/>
      <w:lvlJc w:val="left"/>
      <w:pPr>
        <w:ind w:left="2880" w:hanging="360"/>
      </w:pPr>
      <w:rPr>
        <w:rFonts w:ascii="Symbol" w:hAnsi="Symbol" w:hint="default"/>
      </w:rPr>
    </w:lvl>
    <w:lvl w:ilvl="4" w:tplc="2948F530">
      <w:start w:val="1"/>
      <w:numFmt w:val="bullet"/>
      <w:lvlText w:val="o"/>
      <w:lvlJc w:val="left"/>
      <w:pPr>
        <w:ind w:left="3600" w:hanging="360"/>
      </w:pPr>
      <w:rPr>
        <w:rFonts w:ascii="Courier New" w:hAnsi="Courier New" w:hint="default"/>
      </w:rPr>
    </w:lvl>
    <w:lvl w:ilvl="5" w:tplc="E0269DA6">
      <w:start w:val="1"/>
      <w:numFmt w:val="bullet"/>
      <w:lvlText w:val=""/>
      <w:lvlJc w:val="left"/>
      <w:pPr>
        <w:ind w:left="4320" w:hanging="360"/>
      </w:pPr>
      <w:rPr>
        <w:rFonts w:ascii="Wingdings" w:hAnsi="Wingdings" w:hint="default"/>
      </w:rPr>
    </w:lvl>
    <w:lvl w:ilvl="6" w:tplc="5E6A5D12">
      <w:start w:val="1"/>
      <w:numFmt w:val="bullet"/>
      <w:lvlText w:val=""/>
      <w:lvlJc w:val="left"/>
      <w:pPr>
        <w:ind w:left="5040" w:hanging="360"/>
      </w:pPr>
      <w:rPr>
        <w:rFonts w:ascii="Symbol" w:hAnsi="Symbol" w:hint="default"/>
      </w:rPr>
    </w:lvl>
    <w:lvl w:ilvl="7" w:tplc="137AA906">
      <w:start w:val="1"/>
      <w:numFmt w:val="bullet"/>
      <w:lvlText w:val="o"/>
      <w:lvlJc w:val="left"/>
      <w:pPr>
        <w:ind w:left="5760" w:hanging="360"/>
      </w:pPr>
      <w:rPr>
        <w:rFonts w:ascii="Courier New" w:hAnsi="Courier New" w:hint="default"/>
      </w:rPr>
    </w:lvl>
    <w:lvl w:ilvl="8" w:tplc="B730417C">
      <w:start w:val="1"/>
      <w:numFmt w:val="bullet"/>
      <w:lvlText w:val=""/>
      <w:lvlJc w:val="left"/>
      <w:pPr>
        <w:ind w:left="6480" w:hanging="360"/>
      </w:pPr>
      <w:rPr>
        <w:rFonts w:ascii="Wingdings" w:hAnsi="Wingdings" w:hint="default"/>
      </w:rPr>
    </w:lvl>
  </w:abstractNum>
  <w:num w:numId="1" w16cid:durableId="961959069">
    <w:abstractNumId w:val="1"/>
  </w:num>
  <w:num w:numId="2" w16cid:durableId="1373192287">
    <w:abstractNumId w:val="5"/>
  </w:num>
  <w:num w:numId="3" w16cid:durableId="334655446">
    <w:abstractNumId w:val="2"/>
  </w:num>
  <w:num w:numId="4" w16cid:durableId="67196407">
    <w:abstractNumId w:val="3"/>
  </w:num>
  <w:num w:numId="5" w16cid:durableId="1360008126">
    <w:abstractNumId w:val="0"/>
  </w:num>
  <w:num w:numId="6" w16cid:durableId="1676419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A0"/>
    <w:rsid w:val="00040D96"/>
    <w:rsid w:val="00067ADE"/>
    <w:rsid w:val="00140C42"/>
    <w:rsid w:val="001D7082"/>
    <w:rsid w:val="001F3A6C"/>
    <w:rsid w:val="0021003E"/>
    <w:rsid w:val="002F6E13"/>
    <w:rsid w:val="003544D8"/>
    <w:rsid w:val="00395134"/>
    <w:rsid w:val="003E5266"/>
    <w:rsid w:val="00443AFC"/>
    <w:rsid w:val="004F02F3"/>
    <w:rsid w:val="00510237"/>
    <w:rsid w:val="005561E9"/>
    <w:rsid w:val="005B5515"/>
    <w:rsid w:val="005E78F2"/>
    <w:rsid w:val="00615B21"/>
    <w:rsid w:val="00631A3B"/>
    <w:rsid w:val="00677551"/>
    <w:rsid w:val="006D1DEA"/>
    <w:rsid w:val="006F22D3"/>
    <w:rsid w:val="007773CE"/>
    <w:rsid w:val="00782C21"/>
    <w:rsid w:val="00790AB2"/>
    <w:rsid w:val="00866AAB"/>
    <w:rsid w:val="008C56C9"/>
    <w:rsid w:val="008F4676"/>
    <w:rsid w:val="0090250C"/>
    <w:rsid w:val="009E2509"/>
    <w:rsid w:val="00A80775"/>
    <w:rsid w:val="00C43EFC"/>
    <w:rsid w:val="00C906A0"/>
    <w:rsid w:val="00CA72FC"/>
    <w:rsid w:val="00DC3ECC"/>
    <w:rsid w:val="00DF246D"/>
    <w:rsid w:val="00E02127"/>
    <w:rsid w:val="00E80E88"/>
    <w:rsid w:val="00EC1F02"/>
    <w:rsid w:val="00F5708B"/>
    <w:rsid w:val="00F570DB"/>
    <w:rsid w:val="00FE2F34"/>
    <w:rsid w:val="00FE5142"/>
    <w:rsid w:val="1013030A"/>
    <w:rsid w:val="10A48C3A"/>
    <w:rsid w:val="1A9686DA"/>
    <w:rsid w:val="1CFF6A18"/>
    <w:rsid w:val="1D0384FD"/>
    <w:rsid w:val="307399CE"/>
    <w:rsid w:val="33BA4F14"/>
    <w:rsid w:val="3F35C80B"/>
    <w:rsid w:val="3FE21CB2"/>
    <w:rsid w:val="442AAACA"/>
    <w:rsid w:val="4C28F684"/>
    <w:rsid w:val="5125425E"/>
    <w:rsid w:val="581EA7FC"/>
    <w:rsid w:val="5C17DEDA"/>
    <w:rsid w:val="622E1197"/>
    <w:rsid w:val="63912A16"/>
    <w:rsid w:val="65E52624"/>
    <w:rsid w:val="6D02C279"/>
    <w:rsid w:val="6D523C72"/>
    <w:rsid w:val="75BC2896"/>
    <w:rsid w:val="76E80F00"/>
    <w:rsid w:val="781DDFCB"/>
    <w:rsid w:val="7935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01A6B"/>
  <w15:chartTrackingRefBased/>
  <w15:docId w15:val="{C6DA8A47-B4B4-4C57-8969-C17F14B6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9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A0"/>
    <w:rPr>
      <w:rFonts w:eastAsiaTheme="majorEastAsia" w:cstheme="majorBidi"/>
      <w:color w:val="272727" w:themeColor="text1" w:themeTint="D8"/>
    </w:rPr>
  </w:style>
  <w:style w:type="paragraph" w:styleId="Title">
    <w:name w:val="Title"/>
    <w:basedOn w:val="Normal"/>
    <w:next w:val="Normal"/>
    <w:link w:val="TitleChar"/>
    <w:uiPriority w:val="10"/>
    <w:qFormat/>
    <w:rsid w:val="00C9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A0"/>
    <w:pPr>
      <w:spacing w:before="160"/>
      <w:jc w:val="center"/>
    </w:pPr>
    <w:rPr>
      <w:i/>
      <w:iCs/>
      <w:color w:val="404040" w:themeColor="text1" w:themeTint="BF"/>
    </w:rPr>
  </w:style>
  <w:style w:type="character" w:customStyle="1" w:styleId="QuoteChar">
    <w:name w:val="Quote Char"/>
    <w:basedOn w:val="DefaultParagraphFont"/>
    <w:link w:val="Quote"/>
    <w:uiPriority w:val="29"/>
    <w:rsid w:val="00C906A0"/>
    <w:rPr>
      <w:i/>
      <w:iCs/>
      <w:color w:val="404040" w:themeColor="text1" w:themeTint="BF"/>
    </w:rPr>
  </w:style>
  <w:style w:type="paragraph" w:styleId="ListParagraph">
    <w:name w:val="List Paragraph"/>
    <w:basedOn w:val="Normal"/>
    <w:uiPriority w:val="34"/>
    <w:qFormat/>
    <w:rsid w:val="00C906A0"/>
    <w:pPr>
      <w:ind w:left="720"/>
      <w:contextualSpacing/>
    </w:pPr>
  </w:style>
  <w:style w:type="character" w:styleId="IntenseEmphasis">
    <w:name w:val="Intense Emphasis"/>
    <w:basedOn w:val="DefaultParagraphFont"/>
    <w:uiPriority w:val="21"/>
    <w:qFormat/>
    <w:rsid w:val="00C906A0"/>
    <w:rPr>
      <w:i/>
      <w:iCs/>
      <w:color w:val="0F4761" w:themeColor="accent1" w:themeShade="BF"/>
    </w:rPr>
  </w:style>
  <w:style w:type="paragraph" w:styleId="IntenseQuote">
    <w:name w:val="Intense Quote"/>
    <w:basedOn w:val="Normal"/>
    <w:next w:val="Normal"/>
    <w:link w:val="IntenseQuoteChar"/>
    <w:uiPriority w:val="30"/>
    <w:qFormat/>
    <w:rsid w:val="00C9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A0"/>
    <w:rPr>
      <w:i/>
      <w:iCs/>
      <w:color w:val="0F4761" w:themeColor="accent1" w:themeShade="BF"/>
    </w:rPr>
  </w:style>
  <w:style w:type="character" w:styleId="IntenseReference">
    <w:name w:val="Intense Reference"/>
    <w:basedOn w:val="DefaultParagraphFont"/>
    <w:uiPriority w:val="32"/>
    <w:qFormat/>
    <w:rsid w:val="00C906A0"/>
    <w:rPr>
      <w:b/>
      <w:bCs/>
      <w:smallCaps/>
      <w:color w:val="0F4761" w:themeColor="accent1" w:themeShade="BF"/>
      <w:spacing w:val="5"/>
    </w:rPr>
  </w:style>
  <w:style w:type="paragraph" w:styleId="Header">
    <w:name w:val="header"/>
    <w:basedOn w:val="Normal"/>
    <w:link w:val="HeaderChar"/>
    <w:uiPriority w:val="99"/>
    <w:unhideWhenUsed/>
    <w:rsid w:val="00A80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775"/>
  </w:style>
  <w:style w:type="paragraph" w:styleId="Footer">
    <w:name w:val="footer"/>
    <w:basedOn w:val="Normal"/>
    <w:link w:val="FooterChar"/>
    <w:uiPriority w:val="99"/>
    <w:unhideWhenUsed/>
    <w:rsid w:val="00A80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775"/>
  </w:style>
  <w:style w:type="character" w:styleId="CommentReference">
    <w:name w:val="annotation reference"/>
    <w:basedOn w:val="DefaultParagraphFont"/>
    <w:uiPriority w:val="99"/>
    <w:semiHidden/>
    <w:unhideWhenUsed/>
    <w:rsid w:val="007773CE"/>
    <w:rPr>
      <w:sz w:val="16"/>
      <w:szCs w:val="16"/>
    </w:rPr>
  </w:style>
  <w:style w:type="paragraph" w:styleId="CommentText">
    <w:name w:val="annotation text"/>
    <w:basedOn w:val="Normal"/>
    <w:link w:val="CommentTextChar"/>
    <w:uiPriority w:val="99"/>
    <w:unhideWhenUsed/>
    <w:rsid w:val="007773CE"/>
    <w:pPr>
      <w:spacing w:line="240" w:lineRule="auto"/>
    </w:pPr>
    <w:rPr>
      <w:sz w:val="20"/>
      <w:szCs w:val="20"/>
    </w:rPr>
  </w:style>
  <w:style w:type="character" w:customStyle="1" w:styleId="CommentTextChar">
    <w:name w:val="Comment Text Char"/>
    <w:basedOn w:val="DefaultParagraphFont"/>
    <w:link w:val="CommentText"/>
    <w:uiPriority w:val="99"/>
    <w:rsid w:val="007773CE"/>
    <w:rPr>
      <w:sz w:val="20"/>
      <w:szCs w:val="20"/>
      <w:lang w:val="en-GB"/>
    </w:rPr>
  </w:style>
  <w:style w:type="paragraph" w:styleId="CommentSubject">
    <w:name w:val="annotation subject"/>
    <w:basedOn w:val="CommentText"/>
    <w:next w:val="CommentText"/>
    <w:link w:val="CommentSubjectChar"/>
    <w:uiPriority w:val="99"/>
    <w:semiHidden/>
    <w:unhideWhenUsed/>
    <w:rsid w:val="007773CE"/>
    <w:rPr>
      <w:b/>
      <w:bCs/>
    </w:rPr>
  </w:style>
  <w:style w:type="character" w:customStyle="1" w:styleId="CommentSubjectChar">
    <w:name w:val="Comment Subject Char"/>
    <w:basedOn w:val="CommentTextChar"/>
    <w:link w:val="CommentSubject"/>
    <w:uiPriority w:val="99"/>
    <w:semiHidden/>
    <w:rsid w:val="007773CE"/>
    <w:rPr>
      <w:b/>
      <w:bCs/>
      <w:sz w:val="20"/>
      <w:szCs w:val="20"/>
      <w:lang w:val="en-GB"/>
    </w:rPr>
  </w:style>
  <w:style w:type="character" w:styleId="Hyperlink">
    <w:name w:val="Hyperlink"/>
    <w:basedOn w:val="DefaultParagraphFont"/>
    <w:uiPriority w:val="99"/>
    <w:unhideWhenUsed/>
    <w:rsid w:val="581EA7FC"/>
    <w:rPr>
      <w:color w:val="467886"/>
      <w:u w:val="single"/>
    </w:rPr>
  </w:style>
  <w:style w:type="paragraph" w:styleId="NormalWeb">
    <w:name w:val="Normal (Web)"/>
    <w:basedOn w:val="Normal"/>
    <w:uiPriority w:val="99"/>
    <w:semiHidden/>
    <w:unhideWhenUsed/>
    <w:rsid w:val="00C43EF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oney254.co.ke/post/new-data-shows-drop-in-home-ownership-despite-govts-housing-projects-new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7FCA1B65AD174BBEBEB627AA7FAE2A" ma:contentTypeVersion="12" ma:contentTypeDescription="Create a new document." ma:contentTypeScope="" ma:versionID="47461a9742842c2efdae5bc54dc28b62">
  <xsd:schema xmlns:xsd="http://www.w3.org/2001/XMLSchema" xmlns:xs="http://www.w3.org/2001/XMLSchema" xmlns:p="http://schemas.microsoft.com/office/2006/metadata/properties" xmlns:ns2="3e7f8a45-9c89-4d84-97c2-50797334671f" xmlns:ns3="f0c4c64f-a1ef-4b44-a1a6-f38504305229" targetNamespace="http://schemas.microsoft.com/office/2006/metadata/properties" ma:root="true" ma:fieldsID="78d23daa8d39738661ab70e76148392c" ns2:_="" ns3:_="">
    <xsd:import namespace="3e7f8a45-9c89-4d84-97c2-50797334671f"/>
    <xsd:import namespace="f0c4c64f-a1ef-4b44-a1a6-f385043052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f8a45-9c89-4d84-97c2-507973346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09c852b-a385-4cfa-b090-6c29117d24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c64f-a1ef-4b44-a1a6-f3850430522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4d4fbd-7f7a-4042-b0b0-cac2751c1efe}" ma:internalName="TaxCatchAll" ma:showField="CatchAllData" ma:web="f0c4c64f-a1ef-4b44-a1a6-f38504305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f8a45-9c89-4d84-97c2-50797334671f">
      <Terms xmlns="http://schemas.microsoft.com/office/infopath/2007/PartnerControls"/>
    </lcf76f155ced4ddcb4097134ff3c332f>
    <TaxCatchAll xmlns="f0c4c64f-a1ef-4b44-a1a6-f38504305229" xsi:nil="true"/>
  </documentManagement>
</p:properties>
</file>

<file path=customXml/itemProps1.xml><?xml version="1.0" encoding="utf-8"?>
<ds:datastoreItem xmlns:ds="http://schemas.openxmlformats.org/officeDocument/2006/customXml" ds:itemID="{F51D4664-EB13-4F55-B923-D7BD54E6C9AD}">
  <ds:schemaRefs>
    <ds:schemaRef ds:uri="http://schemas.microsoft.com/sharepoint/v3/contenttype/forms"/>
  </ds:schemaRefs>
</ds:datastoreItem>
</file>

<file path=customXml/itemProps2.xml><?xml version="1.0" encoding="utf-8"?>
<ds:datastoreItem xmlns:ds="http://schemas.openxmlformats.org/officeDocument/2006/customXml" ds:itemID="{AB5556C4-19DB-4BF8-B567-CD55D771A437}"/>
</file>

<file path=customXml/itemProps3.xml><?xml version="1.0" encoding="utf-8"?>
<ds:datastoreItem xmlns:ds="http://schemas.openxmlformats.org/officeDocument/2006/customXml" ds:itemID="{ADDC62A9-DE2C-4B76-9698-7863ED53545D}">
  <ds:schemaRefs>
    <ds:schemaRef ds:uri="http://schemas.microsoft.com/office/2006/metadata/properties"/>
    <ds:schemaRef ds:uri="http://schemas.microsoft.com/office/infopath/2007/PartnerControls"/>
    <ds:schemaRef ds:uri="1b9056bd-27b9-4cd2-b6c2-faebb41fb205"/>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Muthoni</dc:creator>
  <cp:keywords/>
  <dc:description/>
  <cp:lastModifiedBy>Nyaguthii Nyoro</cp:lastModifiedBy>
  <cp:revision>10</cp:revision>
  <dcterms:created xsi:type="dcterms:W3CDTF">2026-02-18T08:17:00Z</dcterms:created>
  <dcterms:modified xsi:type="dcterms:W3CDTF">2026-02-19T11:33:00Z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0x0101005B7FCA1B65AD174BBEBEB627AA7FAE2A</vt:lpwstr>
  </property>
  <property fmtid="{D5CDD505-2E9C-101B-9397-08002B2CF9AE}" pid="3" name="GrammarlyDocumentId">
    <vt:lpwstr>093da5e3-70e2-442a-ba05-8d2986222ca6</vt:lpwstr>
  </property>
</Properties>
</file>