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A1AC9" w:rsidRDefault="00BE70D8" w14:paraId="167C319D" w14:textId="77777777">
      <w:pPr>
        <w:spacing w:after="200" w:line="360" w:lineRule="auto"/>
        <w:jc w:val="both"/>
        <w:rPr>
          <w:rFonts w:ascii="Century Gothic" w:hAnsi="Century Gothic" w:eastAsia="Century Gothic" w:cs="Century Gothic"/>
          <w:b/>
        </w:rPr>
      </w:pPr>
      <w:r>
        <w:rPr>
          <w:rFonts w:ascii="Century Gothic" w:hAnsi="Century Gothic" w:eastAsia="Century Gothic" w:cs="Century Gothic"/>
          <w:b/>
        </w:rPr>
        <w:t>PRESS RELEASE</w:t>
      </w:r>
    </w:p>
    <w:p w:rsidR="00BD34C6" w:rsidP="32158B6A" w:rsidRDefault="00BD34C6" w14:paraId="71C89754" w14:textId="656B57D7" w14:noSpellErr="1">
      <w:pPr>
        <w:spacing w:after="200" w:line="360" w:lineRule="auto"/>
        <w:jc w:val="both"/>
        <w:rPr>
          <w:rFonts w:ascii="Century Gothic" w:hAnsi="Century Gothic" w:eastAsia="Century Gothic" w:cs="Century Gothic"/>
          <w:b w:val="1"/>
          <w:bCs w:val="1"/>
        </w:rPr>
      </w:pPr>
      <w:r w:rsidRPr="32158B6A" w:rsidR="00BD34C6">
        <w:rPr>
          <w:rFonts w:ascii="Century Gothic" w:hAnsi="Century Gothic" w:eastAsia="Century Gothic" w:cs="Century Gothic"/>
          <w:b w:val="1"/>
          <w:bCs w:val="1"/>
        </w:rPr>
        <w:t>NCBA TAKES CENTER STAGE IN</w:t>
      </w:r>
      <w:r w:rsidRPr="32158B6A" w:rsidR="00BD34C6">
        <w:rPr>
          <w:rFonts w:ascii="Century Gothic" w:hAnsi="Century Gothic" w:eastAsia="Century Gothic" w:cs="Century Gothic"/>
          <w:b w:val="1"/>
          <w:bCs w:val="1"/>
        </w:rPr>
        <w:t xml:space="preserve"> NANYUKI WITH </w:t>
      </w:r>
      <w:r w:rsidRPr="32158B6A" w:rsidR="00BD34C6">
        <w:rPr>
          <w:rFonts w:ascii="Century Gothic" w:hAnsi="Century Gothic" w:eastAsia="Century Gothic" w:cs="Century Gothic"/>
          <w:b w:val="1"/>
          <w:bCs w:val="1"/>
        </w:rPr>
        <w:t xml:space="preserve">ESTATE SUCCESSION PLANNING FORUM ON </w:t>
      </w:r>
      <w:r w:rsidRPr="32158B6A" w:rsidR="00BD34C6">
        <w:rPr>
          <w:rFonts w:ascii="Century Gothic" w:hAnsi="Century Gothic" w:eastAsia="Century Gothic" w:cs="Century Gothic"/>
          <w:b w:val="1"/>
          <w:bCs w:val="1"/>
        </w:rPr>
        <w:t>ELEVATING</w:t>
      </w:r>
      <w:r w:rsidRPr="32158B6A" w:rsidR="00BD34C6">
        <w:rPr>
          <w:rFonts w:ascii="Century Gothic" w:hAnsi="Century Gothic" w:eastAsia="Century Gothic" w:cs="Century Gothic"/>
          <w:b w:val="1"/>
          <w:bCs w:val="1"/>
        </w:rPr>
        <w:t xml:space="preserve"> LASTING FINANCIAL LEGACIES FOR HIGH NETWORTH CLIENTS</w:t>
      </w:r>
    </w:p>
    <w:p w:rsidR="008A1AC9" w:rsidRDefault="00BE70D8" w14:paraId="30331B84" w14:textId="77777777">
      <w:pPr>
        <w:spacing w:after="200" w:line="360" w:lineRule="auto"/>
        <w:jc w:val="both"/>
        <w:rPr>
          <w:rFonts w:ascii="Century Gothic" w:hAnsi="Century Gothic" w:eastAsia="Century Gothic" w:cs="Century Gothic"/>
          <w:i/>
        </w:rPr>
      </w:pPr>
      <w:r>
        <w:rPr>
          <w:rFonts w:ascii="Century Gothic" w:hAnsi="Century Gothic" w:eastAsia="Century Gothic" w:cs="Century Gothic"/>
          <w:i/>
        </w:rPr>
        <w:t>The forum focused on key components of estate planning, including Living Wills and Family Trusts.</w:t>
      </w:r>
    </w:p>
    <w:p w:rsidR="008A1AC9" w:rsidP="1F0AAAE4" w:rsidRDefault="00BE70D8" w14:paraId="3830764B" w14:textId="648909AF" w14:noSpellErr="1">
      <w:pPr>
        <w:spacing w:after="200" w:line="360" w:lineRule="auto"/>
        <w:jc w:val="both"/>
        <w:rPr>
          <w:rFonts w:ascii="Century Gothic" w:hAnsi="Century Gothic" w:eastAsia="Century Gothic" w:cs="Century Gothic"/>
          <w:lang w:val="en-US"/>
        </w:rPr>
      </w:pPr>
      <w:r w:rsidRPr="32158B6A" w:rsidR="00BE70D8">
        <w:rPr>
          <w:rFonts w:ascii="Century Gothic" w:hAnsi="Century Gothic" w:eastAsia="Century Gothic" w:cs="Century Gothic"/>
          <w:b w:val="1"/>
          <w:bCs w:val="1"/>
          <w:lang w:val="en-US"/>
        </w:rPr>
        <w:t>24th October 2025...Nanyuki.</w:t>
      </w:r>
      <w:r w:rsidRPr="32158B6A" w:rsidR="00BE70D8">
        <w:rPr>
          <w:rFonts w:ascii="Century Gothic" w:hAnsi="Century Gothic" w:eastAsia="Century Gothic" w:cs="Century Gothic"/>
          <w:lang w:val="en-US"/>
        </w:rPr>
        <w:t xml:space="preserve"> Today, NCBA brought together</w:t>
      </w:r>
      <w:r w:rsidRPr="32158B6A" w:rsidR="00BE70D8">
        <w:rPr>
          <w:rFonts w:ascii="Century Gothic" w:hAnsi="Century Gothic" w:eastAsia="Century Gothic" w:cs="Century Gothic"/>
          <w:lang w:val="en-US"/>
        </w:rPr>
        <w:t xml:space="preserve"> </w:t>
      </w:r>
      <w:r w:rsidRPr="32158B6A" w:rsidR="00BE70D8">
        <w:rPr>
          <w:rFonts w:ascii="Century Gothic" w:hAnsi="Century Gothic" w:eastAsia="Century Gothic" w:cs="Century Gothic"/>
          <w:lang w:val="en-US"/>
        </w:rPr>
        <w:t xml:space="preserve">its </w:t>
      </w:r>
      <w:r w:rsidRPr="32158B6A" w:rsidR="00BD34C6">
        <w:rPr>
          <w:rFonts w:ascii="Century Gothic" w:hAnsi="Century Gothic" w:eastAsia="Century Gothic" w:cs="Century Gothic"/>
          <w:lang w:val="en-US"/>
        </w:rPr>
        <w:t>high-net-worth</w:t>
      </w:r>
      <w:r w:rsidRPr="32158B6A" w:rsidR="00BE70D8">
        <w:rPr>
          <w:rFonts w:ascii="Century Gothic" w:hAnsi="Century Gothic" w:eastAsia="Century Gothic" w:cs="Century Gothic"/>
          <w:lang w:val="en-US"/>
        </w:rPr>
        <w:t xml:space="preserve"> clients, industry </w:t>
      </w:r>
      <w:r w:rsidRPr="32158B6A" w:rsidR="00BE70D8">
        <w:rPr>
          <w:rFonts w:ascii="Century Gothic" w:hAnsi="Century Gothic" w:eastAsia="Century Gothic" w:cs="Century Gothic"/>
          <w:lang w:val="en-US"/>
        </w:rPr>
        <w:t>experts</w:t>
      </w:r>
      <w:r w:rsidRPr="32158B6A" w:rsidR="00BE70D8">
        <w:rPr>
          <w:rFonts w:ascii="Century Gothic" w:hAnsi="Century Gothic" w:eastAsia="Century Gothic" w:cs="Century Gothic"/>
          <w:lang w:val="en-US"/>
        </w:rPr>
        <w:t xml:space="preserve"> and senior executives for an engaging estate succession forum. The forum </w:t>
      </w:r>
      <w:r w:rsidRPr="32158B6A" w:rsidR="00BE70D8">
        <w:rPr>
          <w:rFonts w:ascii="Century Gothic" w:hAnsi="Century Gothic" w:eastAsia="Century Gothic" w:cs="Century Gothic"/>
          <w:lang w:val="en-US"/>
        </w:rPr>
        <w:t>explored</w:t>
      </w:r>
      <w:r w:rsidRPr="32158B6A" w:rsidR="00BE70D8">
        <w:rPr>
          <w:rFonts w:ascii="Century Gothic" w:hAnsi="Century Gothic" w:eastAsia="Century Gothic" w:cs="Century Gothic"/>
          <w:lang w:val="en-US"/>
        </w:rPr>
        <w:t xml:space="preserve"> how families can preserve and seamlessly transfer their wealth across generations</w:t>
      </w:r>
      <w:r w:rsidRPr="32158B6A" w:rsidR="00BD34C6">
        <w:rPr>
          <w:rFonts w:ascii="Century Gothic" w:hAnsi="Century Gothic" w:eastAsia="Century Gothic" w:cs="Century Gothic"/>
          <w:lang w:val="en-US"/>
        </w:rPr>
        <w:t xml:space="preserve"> as they </w:t>
      </w:r>
      <w:r w:rsidRPr="32158B6A" w:rsidR="00BD34C6">
        <w:rPr>
          <w:rFonts w:ascii="Century Gothic" w:hAnsi="Century Gothic" w:eastAsia="Century Gothic" w:cs="Century Gothic"/>
          <w:lang w:val="en-US"/>
        </w:rPr>
        <w:t>build lasting financial legacies</w:t>
      </w:r>
      <w:r w:rsidRPr="32158B6A" w:rsidR="00BE70D8">
        <w:rPr>
          <w:rFonts w:ascii="Century Gothic" w:hAnsi="Century Gothic" w:eastAsia="Century Gothic" w:cs="Century Gothic"/>
          <w:lang w:val="en-US"/>
        </w:rPr>
        <w:t>.</w:t>
      </w:r>
    </w:p>
    <w:p w:rsidR="008A1AC9" w:rsidP="1F0AAAE4" w:rsidRDefault="00BE70D8" w14:paraId="2DAB3347" w14:textId="77777777">
      <w:pPr>
        <w:spacing w:before="240" w:after="240" w:line="360" w:lineRule="auto"/>
        <w:jc w:val="both"/>
        <w:rPr>
          <w:rFonts w:ascii="Century Gothic" w:hAnsi="Century Gothic" w:eastAsia="Century Gothic" w:cs="Century Gothic"/>
          <w:lang w:val="en-US"/>
        </w:rPr>
      </w:pPr>
      <w:r w:rsidRPr="1F0AAAE4">
        <w:rPr>
          <w:rFonts w:ascii="Century Gothic" w:hAnsi="Century Gothic" w:eastAsia="Century Gothic" w:cs="Century Gothic"/>
          <w:lang w:val="en-US"/>
        </w:rPr>
        <w:t>The session, held in partnership with Caroline Wanjiru &amp; Associates (Legal) and NCBA Bancassurance, focused on key elements of estate planning. These included the preparation of Wills, Family Trusts and the tax implications. The discussion aimed to empower customers with the proper knowledge and tools to ensure that their legacies are protected and responsibly managed.</w:t>
      </w:r>
    </w:p>
    <w:p w:rsidR="008A1AC9" w:rsidP="1F0AAAE4" w:rsidRDefault="00BE70D8" w14:paraId="0FBFFB5D" w14:textId="0A96E750">
      <w:pPr>
        <w:spacing w:before="240" w:after="240" w:line="360" w:lineRule="auto"/>
        <w:jc w:val="both"/>
        <w:rPr>
          <w:rFonts w:ascii="Century Gothic" w:hAnsi="Century Gothic" w:eastAsia="Century Gothic" w:cs="Century Gothic"/>
          <w:lang w:val="en-US"/>
        </w:rPr>
      </w:pPr>
      <w:r w:rsidRPr="1F0AAAE4">
        <w:rPr>
          <w:rFonts w:ascii="Century Gothic" w:hAnsi="Century Gothic" w:eastAsia="Century Gothic" w:cs="Century Gothic"/>
          <w:lang w:val="en-US"/>
        </w:rPr>
        <w:t xml:space="preserve">The forum also showcased NCBA’s growing commitment to offering tailored legal and financial guidance to its customers, helping them navigate the </w:t>
      </w:r>
      <w:r w:rsidRPr="1F0AAAE4" w:rsidR="00BD34C6">
        <w:rPr>
          <w:rFonts w:ascii="Century Gothic" w:hAnsi="Century Gothic" w:eastAsia="Century Gothic" w:cs="Century Gothic"/>
          <w:lang w:val="en-US"/>
        </w:rPr>
        <w:t>often-complex</w:t>
      </w:r>
      <w:r w:rsidRPr="1F0AAAE4">
        <w:rPr>
          <w:rFonts w:ascii="Century Gothic" w:hAnsi="Century Gothic" w:eastAsia="Century Gothic" w:cs="Century Gothic"/>
          <w:lang w:val="en-US"/>
        </w:rPr>
        <w:t xml:space="preserve"> process of succession planning. Representatives from NCBA Insurance shared valuable insights on the importance of early preparation, legal clarity and the need for a well-structured succession framework that ensures peace of mind for families.</w:t>
      </w:r>
    </w:p>
    <w:p w:rsidR="008A1AC9" w:rsidP="1F0AAAE4" w:rsidRDefault="00BE70D8" w14:paraId="19C08FDD" w14:textId="189B0926">
      <w:pPr>
        <w:spacing w:before="240" w:after="240" w:line="360" w:lineRule="auto"/>
        <w:jc w:val="both"/>
        <w:rPr>
          <w:rFonts w:ascii="Century Gothic" w:hAnsi="Century Gothic" w:eastAsia="Century Gothic" w:cs="Century Gothic"/>
          <w:color w:val="0E101A"/>
          <w:lang w:val="en-US"/>
        </w:rPr>
      </w:pPr>
      <w:r w:rsidRPr="1F0AAAE4">
        <w:rPr>
          <w:rFonts w:ascii="Century Gothic" w:hAnsi="Century Gothic" w:eastAsia="Century Gothic" w:cs="Century Gothic"/>
          <w:color w:val="0E101A"/>
          <w:lang w:val="en-US"/>
        </w:rPr>
        <w:t xml:space="preserve">Speaking at the event, </w:t>
      </w:r>
      <w:r w:rsidRPr="1F0AAAE4" w:rsidR="00BD34C6">
        <w:rPr>
          <w:rFonts w:ascii="Century Gothic" w:hAnsi="Century Gothic" w:eastAsia="Century Gothic" w:cs="Century Gothic"/>
          <w:color w:val="0E101A"/>
          <w:lang w:val="en-US"/>
        </w:rPr>
        <w:t>Mr.</w:t>
      </w:r>
      <w:r w:rsidRPr="1F0AAAE4">
        <w:rPr>
          <w:rFonts w:ascii="Century Gothic" w:hAnsi="Century Gothic" w:eastAsia="Century Gothic" w:cs="Century Gothic"/>
          <w:color w:val="0E101A"/>
          <w:lang w:val="en-US"/>
        </w:rPr>
        <w:t xml:space="preserve"> Dennis Njau, Group Director, Retail Banking at NCBA, said, “As a trusted financial partner, we believe that true wealth is not just about accumulation but also about preservation and continuity. Our goal is to empower our customers with the right tools and knowledge so that their legacies can thrive for generations. This is part of our broader mission to ensure that wealth management at NCBA goes beyond numbers to serve families and futures.”</w:t>
      </w:r>
    </w:p>
    <w:p w:rsidR="00BD34C6" w:rsidP="1F0AAAE4" w:rsidRDefault="00BD34C6" w14:paraId="4EACC417" w14:textId="1304BBF1" w14:noSpellErr="1">
      <w:pPr>
        <w:spacing w:before="240" w:after="240" w:line="360" w:lineRule="auto"/>
        <w:jc w:val="both"/>
        <w:rPr>
          <w:rFonts w:ascii="Century Gothic" w:hAnsi="Century Gothic" w:eastAsia="Century Gothic" w:cs="Century Gothic"/>
          <w:lang w:val="en-US"/>
        </w:rPr>
      </w:pPr>
      <w:r w:rsidRPr="32158B6A" w:rsidR="00BD34C6">
        <w:rPr>
          <w:rFonts w:ascii="Century Gothic" w:hAnsi="Century Gothic" w:eastAsia="Century Gothic" w:cs="Century Gothic"/>
          <w:color w:val="0E101A"/>
          <w:lang w:val="en-US"/>
        </w:rPr>
        <w:t>Nanyuki was carefully selected as a strategic location for the forum due to its growing community of high-net worth individuals with significant investments in agri-business, real estate</w:t>
      </w:r>
      <w:r w:rsidRPr="32158B6A" w:rsidR="00170FD8">
        <w:rPr>
          <w:rFonts w:ascii="Century Gothic" w:hAnsi="Century Gothic" w:eastAsia="Century Gothic" w:cs="Century Gothic"/>
          <w:color w:val="0E101A"/>
          <w:lang w:val="en-US"/>
        </w:rPr>
        <w:t xml:space="preserve">, </w:t>
      </w:r>
      <w:r w:rsidRPr="32158B6A" w:rsidR="00170FD8">
        <w:rPr>
          <w:rFonts w:ascii="Century Gothic" w:hAnsi="Century Gothic" w:eastAsia="Century Gothic" w:cs="Century Gothic"/>
          <w:color w:val="0E101A"/>
          <w:lang w:val="en-US"/>
        </w:rPr>
        <w:t>tourism</w:t>
      </w:r>
      <w:r w:rsidRPr="32158B6A" w:rsidR="00170FD8">
        <w:rPr>
          <w:rFonts w:ascii="Century Gothic" w:hAnsi="Century Gothic" w:eastAsia="Century Gothic" w:cs="Century Gothic"/>
          <w:color w:val="0E101A"/>
          <w:lang w:val="en-US"/>
        </w:rPr>
        <w:t xml:space="preserve"> and hospitality. The location has become a preferred retreat for Kenya’s affluent on building and preserving intergenerational wealth.</w:t>
      </w:r>
      <w:r w:rsidRPr="32158B6A" w:rsidR="00170FD8">
        <w:rPr>
          <w:rFonts w:ascii="Century Gothic" w:hAnsi="Century Gothic" w:eastAsia="Century Gothic" w:cs="Century Gothic"/>
          <w:color w:val="0E101A"/>
          <w:lang w:val="en-US"/>
        </w:rPr>
        <w:t xml:space="preserve"> </w:t>
      </w:r>
    </w:p>
    <w:p w:rsidR="008A1AC9" w:rsidRDefault="00BE70D8" w14:paraId="56EF31F3" w14:noSpellErr="1" w14:textId="20A356F1">
      <w:pPr>
        <w:spacing w:before="240" w:after="240" w:line="360" w:lineRule="auto"/>
        <w:jc w:val="both"/>
        <w:rPr>
          <w:rFonts w:ascii="Century Gothic" w:hAnsi="Century Gothic" w:eastAsia="Century Gothic" w:cs="Century Gothic"/>
        </w:rPr>
      </w:pPr>
      <w:r w:rsidRPr="32158B6A" w:rsidR="00BE70D8">
        <w:rPr>
          <w:rFonts w:ascii="Century Gothic" w:hAnsi="Century Gothic" w:eastAsia="Century Gothic" w:cs="Century Gothic"/>
        </w:rPr>
        <w:t xml:space="preserve">This initiative is part of NCBA’s broader strategy to strengthen its </w:t>
      </w:r>
      <w:r w:rsidRPr="32158B6A" w:rsidR="00BE70D8">
        <w:rPr>
          <w:rFonts w:ascii="Century Gothic" w:hAnsi="Century Gothic" w:eastAsia="Century Gothic" w:cs="Century Gothic"/>
        </w:rPr>
        <w:t>Platinum</w:t>
      </w:r>
      <w:r w:rsidRPr="32158B6A" w:rsidR="00BD34C6">
        <w:rPr>
          <w:rFonts w:ascii="Century Gothic" w:hAnsi="Century Gothic" w:eastAsia="Century Gothic" w:cs="Century Gothic"/>
        </w:rPr>
        <w:t xml:space="preserve"> Banking</w:t>
      </w:r>
      <w:r w:rsidRPr="32158B6A" w:rsidR="00BD34C6">
        <w:rPr>
          <w:rFonts w:ascii="Century Gothic" w:hAnsi="Century Gothic" w:eastAsia="Century Gothic" w:cs="Century Gothic"/>
        </w:rPr>
        <w:t xml:space="preserve"> and </w:t>
      </w:r>
      <w:r w:rsidRPr="32158B6A" w:rsidR="00BD34C6">
        <w:rPr>
          <w:rFonts w:ascii="Century Gothic" w:hAnsi="Century Gothic" w:eastAsia="Century Gothic" w:cs="Century Gothic"/>
        </w:rPr>
        <w:t>Retail Wealth Management</w:t>
      </w:r>
      <w:r w:rsidRPr="32158B6A" w:rsidR="00BD34C6">
        <w:rPr>
          <w:rFonts w:ascii="Century Gothic" w:hAnsi="Century Gothic" w:eastAsia="Century Gothic" w:cs="Century Gothic"/>
        </w:rPr>
        <w:t xml:space="preserve"> </w:t>
      </w:r>
      <w:r w:rsidRPr="32158B6A" w:rsidR="00BE70D8">
        <w:rPr>
          <w:rFonts w:ascii="Century Gothic" w:hAnsi="Century Gothic" w:eastAsia="Century Gothic" w:cs="Century Gothic"/>
        </w:rPr>
        <w:t xml:space="preserve">Value Proposition by offering more structured and value-driven advisory services. The </w:t>
      </w:r>
      <w:r w:rsidRPr="32158B6A" w:rsidR="00BD34C6">
        <w:rPr>
          <w:rFonts w:ascii="Century Gothic" w:hAnsi="Century Gothic" w:eastAsia="Century Gothic" w:cs="Century Gothic"/>
        </w:rPr>
        <w:t>B</w:t>
      </w:r>
      <w:r w:rsidRPr="32158B6A" w:rsidR="00BE70D8">
        <w:rPr>
          <w:rFonts w:ascii="Century Gothic" w:hAnsi="Century Gothic" w:eastAsia="Century Gothic" w:cs="Century Gothic"/>
        </w:rPr>
        <w:t>a</w:t>
      </w:r>
      <w:r w:rsidRPr="32158B6A" w:rsidR="00BE70D8">
        <w:rPr>
          <w:rFonts w:ascii="Century Gothic" w:hAnsi="Century Gothic" w:eastAsia="Century Gothic" w:cs="Century Gothic"/>
        </w:rPr>
        <w:t>nk</w:t>
      </w:r>
      <w:r w:rsidRPr="32158B6A" w:rsidR="66260C12">
        <w:rPr>
          <w:rFonts w:ascii="Century Gothic" w:hAnsi="Century Gothic" w:eastAsia="Century Gothic" w:cs="Century Gothic"/>
        </w:rPr>
        <w:t xml:space="preserve"> </w:t>
      </w:r>
      <w:r w:rsidRPr="32158B6A" w:rsidR="00BE70D8">
        <w:rPr>
          <w:rFonts w:ascii="Century Gothic" w:hAnsi="Century Gothic" w:eastAsia="Century Gothic" w:cs="Century Gothic"/>
        </w:rPr>
        <w:t>continues to evolve its proposition to meet the growing demand among high-net-worth customers for integrated wealth management solutions that go beyond traditional banking.</w:t>
      </w:r>
    </w:p>
    <w:p w:rsidR="008A1AC9" w:rsidRDefault="00BE70D8" w14:paraId="4AA9D45F" w14:textId="77777777">
      <w:pPr>
        <w:spacing w:before="240" w:after="240" w:line="360" w:lineRule="auto"/>
        <w:jc w:val="both"/>
        <w:rPr>
          <w:rFonts w:ascii="Century Gothic" w:hAnsi="Century Gothic" w:eastAsia="Century Gothic" w:cs="Century Gothic"/>
        </w:rPr>
      </w:pPr>
      <w:r>
        <w:rPr>
          <w:rFonts w:ascii="Century Gothic" w:hAnsi="Century Gothic" w:eastAsia="Century Gothic" w:cs="Century Gothic"/>
        </w:rPr>
        <w:t xml:space="preserve">According to a report by Business Research Insights, the global estate planning services market is projected to grow from approximately USD 109.2 billion in 2025 to about USD 171.17 billion by 2035, reflecting a compound annual growth rate of around 4.5 per cent. Despite this steady growth, many people still find estate planning complex and challenging to navigate, with potential clients citing limited awareness and understanding as major barriers. </w:t>
      </w:r>
    </w:p>
    <w:p w:rsidR="008A1AC9" w:rsidRDefault="00BE70D8" w14:paraId="6C8BD871" w14:textId="7C31675E">
      <w:pPr>
        <w:spacing w:before="240" w:after="240" w:line="360" w:lineRule="auto"/>
        <w:jc w:val="both"/>
        <w:rPr>
          <w:rFonts w:ascii="Century Gothic" w:hAnsi="Century Gothic" w:eastAsia="Century Gothic" w:cs="Century Gothic"/>
        </w:rPr>
      </w:pPr>
      <w:r>
        <w:rPr>
          <w:rFonts w:ascii="Century Gothic" w:hAnsi="Century Gothic" w:eastAsia="Century Gothic" w:cs="Century Gothic"/>
        </w:rPr>
        <w:t>Through such initiatives, NCBA continues to position itself as a trusted partner and advisor, helping clients make well-informed decisions today that will safeguard their future generations.</w:t>
      </w:r>
      <w:r w:rsidR="00170FD8">
        <w:rPr>
          <w:rFonts w:ascii="Century Gothic" w:hAnsi="Century Gothic" w:eastAsia="Century Gothic" w:cs="Century Gothic"/>
        </w:rPr>
        <w:t xml:space="preserve"> </w:t>
      </w:r>
    </w:p>
    <w:p w:rsidR="008A1AC9" w:rsidRDefault="00BE70D8" w14:paraId="33585B2C" w14:textId="77777777">
      <w:pPr>
        <w:spacing w:before="240" w:after="240" w:line="360" w:lineRule="auto"/>
        <w:ind w:left="720"/>
        <w:jc w:val="both"/>
        <w:rPr>
          <w:rFonts w:ascii="Century Gothic" w:hAnsi="Century Gothic" w:eastAsia="Century Gothic" w:cs="Century Gothic"/>
          <w:b/>
        </w:rPr>
      </w:pPr>
      <w:r>
        <w:rPr>
          <w:rFonts w:ascii="Century Gothic" w:hAnsi="Century Gothic" w:eastAsia="Century Gothic" w:cs="Century Gothic"/>
          <w:b/>
        </w:rPr>
        <w:t xml:space="preserve">                                                    -ENDS-</w:t>
      </w:r>
    </w:p>
    <w:p w:rsidR="008A1AC9" w:rsidRDefault="008A1AC9" w14:paraId="672A6659" w14:textId="77777777">
      <w:pPr>
        <w:spacing w:before="240" w:after="240" w:line="360" w:lineRule="auto"/>
        <w:ind w:left="720"/>
        <w:jc w:val="both"/>
        <w:rPr>
          <w:rFonts w:ascii="Century Gothic" w:hAnsi="Century Gothic" w:eastAsia="Century Gothic" w:cs="Century Gothic"/>
          <w:b/>
        </w:rPr>
      </w:pPr>
    </w:p>
    <w:p w:rsidR="008A1AC9" w:rsidRDefault="008A1AC9" w14:paraId="0A37501D" w14:textId="77777777">
      <w:pPr>
        <w:spacing w:before="240" w:after="240" w:line="360" w:lineRule="auto"/>
        <w:ind w:left="720"/>
        <w:jc w:val="both"/>
        <w:rPr>
          <w:rFonts w:ascii="Century Gothic" w:hAnsi="Century Gothic" w:eastAsia="Century Gothic" w:cs="Century Gothic"/>
          <w:b/>
        </w:rPr>
      </w:pPr>
    </w:p>
    <w:p w:rsidR="008A1AC9" w:rsidRDefault="00BE70D8" w14:paraId="7D0073BB" w14:textId="77777777">
      <w:pPr>
        <w:spacing w:before="240" w:after="160" w:line="360" w:lineRule="auto"/>
        <w:jc w:val="both"/>
        <w:rPr>
          <w:rFonts w:ascii="Century Gothic" w:hAnsi="Century Gothic" w:eastAsia="Century Gothic" w:cs="Century Gothic"/>
          <w:b/>
        </w:rPr>
      </w:pPr>
      <w:r>
        <w:rPr>
          <w:rFonts w:ascii="Century Gothic" w:hAnsi="Century Gothic" w:eastAsia="Century Gothic" w:cs="Century Gothic"/>
          <w:b/>
        </w:rPr>
        <w:t>For media enquiries, please contact:</w:t>
      </w:r>
    </w:p>
    <w:p w:rsidR="008A1AC9" w:rsidP="1F0AAAE4" w:rsidRDefault="00BE70D8" w14:paraId="732AB394" w14:textId="77777777">
      <w:pPr>
        <w:spacing w:before="240" w:after="160" w:line="360" w:lineRule="auto"/>
        <w:jc w:val="both"/>
        <w:rPr>
          <w:rFonts w:ascii="Century Gothic" w:hAnsi="Century Gothic" w:eastAsia="Century Gothic" w:cs="Century Gothic"/>
          <w:lang w:val="en-US"/>
        </w:rPr>
      </w:pPr>
      <w:r w:rsidRPr="1F0AAAE4">
        <w:rPr>
          <w:rFonts w:ascii="Century Gothic" w:hAnsi="Century Gothic" w:eastAsia="Century Gothic" w:cs="Century Gothic"/>
          <w:lang w:val="en-US"/>
        </w:rPr>
        <w:t xml:space="preserve">Nelly Wainaina | Group Director- Marketing, Communication and Citizenship | NCBA </w:t>
      </w:r>
      <w:proofErr w:type="gramStart"/>
      <w:r w:rsidRPr="1F0AAAE4">
        <w:rPr>
          <w:rFonts w:ascii="Century Gothic" w:hAnsi="Century Gothic" w:eastAsia="Century Gothic" w:cs="Century Gothic"/>
          <w:color w:val="0563C1"/>
          <w:lang w:val="en-US"/>
        </w:rPr>
        <w:t>Nelly.Wainaina@ncbagroup.com</w:t>
      </w:r>
      <w:r w:rsidRPr="1F0AAAE4">
        <w:rPr>
          <w:rFonts w:ascii="Century Gothic" w:hAnsi="Century Gothic" w:eastAsia="Century Gothic" w:cs="Century Gothic"/>
          <w:lang w:val="en-US"/>
        </w:rPr>
        <w:t xml:space="preserve">  |</w:t>
      </w:r>
      <w:proofErr w:type="gramEnd"/>
      <w:r w:rsidRPr="1F0AAAE4">
        <w:rPr>
          <w:rFonts w:ascii="Century Gothic" w:hAnsi="Century Gothic" w:eastAsia="Century Gothic" w:cs="Century Gothic"/>
          <w:lang w:val="en-US"/>
        </w:rPr>
        <w:t>Tel:   +254 711 056 444</w:t>
      </w:r>
    </w:p>
    <w:p w:rsidR="008A1AC9" w:rsidRDefault="00BE70D8" w14:paraId="62862CE3" w14:textId="77777777">
      <w:pPr>
        <w:spacing w:before="240" w:after="160" w:line="360" w:lineRule="auto"/>
        <w:jc w:val="both"/>
        <w:rPr>
          <w:rFonts w:ascii="Century Gothic" w:hAnsi="Century Gothic" w:eastAsia="Century Gothic" w:cs="Century Gothic"/>
          <w:b/>
        </w:rPr>
      </w:pPr>
      <w:r>
        <w:rPr>
          <w:rFonts w:ascii="Century Gothic" w:hAnsi="Century Gothic" w:eastAsia="Century Gothic" w:cs="Century Gothic"/>
          <w:b/>
        </w:rPr>
        <w:lastRenderedPageBreak/>
        <w:t>About NCBA Group</w:t>
      </w:r>
    </w:p>
    <w:p w:rsidR="008A1AC9" w:rsidP="1F0AAAE4" w:rsidRDefault="00BE70D8" w14:paraId="180FC917" w14:textId="77777777">
      <w:pPr>
        <w:spacing w:before="240" w:after="160" w:line="360" w:lineRule="auto"/>
        <w:jc w:val="both"/>
        <w:rPr>
          <w:rFonts w:ascii="Century Gothic" w:hAnsi="Century Gothic" w:eastAsia="Century Gothic" w:cs="Century Gothic"/>
          <w:lang w:val="en-US"/>
        </w:rPr>
      </w:pPr>
      <w:r w:rsidRPr="1F0AAAE4">
        <w:rPr>
          <w:rFonts w:ascii="Century Gothic" w:hAnsi="Century Gothic" w:eastAsia="Century Gothic" w:cs="Century Gothic"/>
          <w:lang w:val="en-US"/>
        </w:rPr>
        <w:t>NCBA Group is a full-service banking group providing a broad range of financial products and services to corporate, institutional, SME and consumer banking customers. NCBA Group operates a network of over 100 branches across five countries, including Kenya, Uganda, Tanzania, Rwanda, and the Ivory Coast. Serving over 60 million customers, the NCBA Group is the largest banking group in Africa by customer numbers. NCBA Bank Kenya PLC is one of the leading banks in terms of assets. The Bank continues to play a key role in supporting Africa's economic ambitions. The Bank is a Market Leader in Corporate Banking, Asset Finance and Digital Banking.</w:t>
      </w:r>
    </w:p>
    <w:p w:rsidR="008A1AC9" w:rsidRDefault="008A1AC9" w14:paraId="5DAB6C7B" w14:textId="77777777">
      <w:pPr>
        <w:spacing w:before="240" w:after="240" w:line="360" w:lineRule="auto"/>
        <w:ind w:left="720"/>
        <w:jc w:val="both"/>
        <w:rPr>
          <w:rFonts w:ascii="Century Gothic" w:hAnsi="Century Gothic" w:eastAsia="Century Gothic" w:cs="Century Gothic"/>
          <w:b/>
        </w:rPr>
      </w:pPr>
    </w:p>
    <w:p w:rsidR="008A1AC9" w:rsidRDefault="008A1AC9" w14:paraId="02EB378F" w14:textId="77777777">
      <w:pPr>
        <w:spacing w:after="200" w:line="360" w:lineRule="auto"/>
        <w:jc w:val="both"/>
        <w:rPr>
          <w:rFonts w:ascii="Century Gothic" w:hAnsi="Century Gothic" w:eastAsia="Century Gothic" w:cs="Century Gothic"/>
        </w:rPr>
      </w:pPr>
    </w:p>
    <w:sectPr w:rsidR="008A1AC9">
      <w:headerReference w:type="default" r:id="rId7"/>
      <w:pgSz w:w="12240" w:h="15840"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95727" w:rsidRDefault="00695727" w14:paraId="6A3206FB" w14:textId="77777777">
      <w:pPr>
        <w:spacing w:line="240" w:lineRule="auto"/>
      </w:pPr>
      <w:r>
        <w:separator/>
      </w:r>
    </w:p>
  </w:endnote>
  <w:endnote w:type="continuationSeparator" w:id="0">
    <w:p w:rsidR="00695727" w:rsidRDefault="00695727" w14:paraId="468D68A6"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w:fontKey="{F042D9BB-4237-40D0-B5F8-D78B8778434D}" r:id="rId1"/>
    <w:embedBold w:fontKey="{32D335BA-D271-4470-9915-0C22A8127C0F}" r:id="rId2"/>
    <w:embedItalic w:fontKey="{9B129AA6-DF74-4671-BDFD-D067FD5F8AF2}" r:id="rId3"/>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F3867CCB-CE9D-4CA4-B813-C3DB0E0D7B8D}" r:id="rId4"/>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124FD0F7-0AB4-47B5-A1C2-A21A9539F1BD}" r:id="rId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95727" w:rsidRDefault="00695727" w14:paraId="2D72DD9B" w14:textId="77777777">
      <w:pPr>
        <w:spacing w:line="240" w:lineRule="auto"/>
      </w:pPr>
      <w:r>
        <w:separator/>
      </w:r>
    </w:p>
  </w:footnote>
  <w:footnote w:type="continuationSeparator" w:id="0">
    <w:p w:rsidR="00695727" w:rsidRDefault="00695727" w14:paraId="2D98D95B"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8A1AC9" w:rsidRDefault="00BE70D8" w14:paraId="6A05A809" w14:textId="77777777">
    <w:pPr>
      <w:spacing w:after="200" w:line="360" w:lineRule="auto"/>
      <w:jc w:val="both"/>
    </w:pPr>
    <w:r>
      <w:rPr>
        <w:rFonts w:ascii="Century Gothic" w:hAnsi="Century Gothic" w:eastAsia="Century Gothic" w:cs="Century Gothic"/>
        <w:b/>
        <w:noProof/>
      </w:rPr>
      <w:drawing>
        <wp:inline distT="114300" distB="114300" distL="114300" distR="114300" wp14:anchorId="2EEB2111" wp14:editId="07777777">
          <wp:extent cx="2047875" cy="86677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047875" cy="866775"/>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dirty"/>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1AC9"/>
    <w:rsid w:val="00170FD8"/>
    <w:rsid w:val="00533348"/>
    <w:rsid w:val="006861A4"/>
    <w:rsid w:val="00695727"/>
    <w:rsid w:val="008A1AC9"/>
    <w:rsid w:val="00BD34C6"/>
    <w:rsid w:val="00BE70D8"/>
    <w:rsid w:val="1F0AAAE4"/>
    <w:rsid w:val="32158B6A"/>
    <w:rsid w:val="66260C1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C196C7"/>
  <w15:docId w15:val="{9A1143A8-53AB-444A-9760-40842AD27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styleId="TableNormal00" w:customStyle="1">
    <w:name w:val="TableNormal0"/>
    <w:tblPr>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10212C"/>
    <w:rPr>
      <w:sz w:val="16"/>
      <w:szCs w:val="16"/>
    </w:rPr>
  </w:style>
  <w:style w:type="paragraph" w:styleId="CommentText">
    <w:name w:val="annotation text"/>
    <w:basedOn w:val="Normal"/>
    <w:link w:val="CommentTextChar"/>
    <w:uiPriority w:val="99"/>
    <w:unhideWhenUsed/>
    <w:rsid w:val="0010212C"/>
    <w:pPr>
      <w:spacing w:line="240" w:lineRule="auto"/>
    </w:pPr>
    <w:rPr>
      <w:sz w:val="20"/>
      <w:szCs w:val="20"/>
    </w:rPr>
  </w:style>
  <w:style w:type="character" w:styleId="CommentTextChar" w:customStyle="1">
    <w:name w:val="Comment Text Char"/>
    <w:basedOn w:val="DefaultParagraphFont"/>
    <w:link w:val="CommentText"/>
    <w:uiPriority w:val="99"/>
    <w:rsid w:val="0010212C"/>
    <w:rPr>
      <w:sz w:val="20"/>
      <w:szCs w:val="20"/>
    </w:rPr>
  </w:style>
  <w:style w:type="paragraph" w:styleId="CommentSubject">
    <w:name w:val="annotation subject"/>
    <w:basedOn w:val="CommentText"/>
    <w:next w:val="CommentText"/>
    <w:link w:val="CommentSubjectChar"/>
    <w:uiPriority w:val="99"/>
    <w:semiHidden/>
    <w:unhideWhenUsed/>
    <w:rsid w:val="0010212C"/>
    <w:rPr>
      <w:b/>
      <w:bCs/>
    </w:rPr>
  </w:style>
  <w:style w:type="character" w:styleId="CommentSubjectChar" w:customStyle="1">
    <w:name w:val="Comment Subject Char"/>
    <w:basedOn w:val="CommentTextChar"/>
    <w:link w:val="CommentSubject"/>
    <w:uiPriority w:val="99"/>
    <w:semiHidden/>
    <w:rsid w:val="0010212C"/>
    <w:rPr>
      <w:b/>
      <w:bCs/>
      <w:sz w:val="20"/>
      <w:szCs w:val="20"/>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4.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ustomXml" Target="../customXml/item3.xml"/><Relationship Id="rId5" Type="http://schemas.openxmlformats.org/officeDocument/2006/relationships/footnotes" Target="footnotes.xml"/><Relationship Id="rId10"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5Mg+OzVCsIEvBMt+NN/ZhuPlNg==">CgMxLjA4AHIhMUlidldMQ2Nac1lrdHNEWjIzTGtOclBWWTNHM0w0eWlz</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5B7FCA1B65AD174BBEBEB627AA7FAE2A" ma:contentTypeVersion="12" ma:contentTypeDescription="Create a new document." ma:contentTypeScope="" ma:versionID="47461a9742842c2efdae5bc54dc28b62">
  <xsd:schema xmlns:xsd="http://www.w3.org/2001/XMLSchema" xmlns:xs="http://www.w3.org/2001/XMLSchema" xmlns:p="http://schemas.microsoft.com/office/2006/metadata/properties" xmlns:ns2="3e7f8a45-9c89-4d84-97c2-50797334671f" xmlns:ns3="f0c4c64f-a1ef-4b44-a1a6-f38504305229" targetNamespace="http://schemas.microsoft.com/office/2006/metadata/properties" ma:root="true" ma:fieldsID="78d23daa8d39738661ab70e76148392c" ns2:_="" ns3:_="">
    <xsd:import namespace="3e7f8a45-9c89-4d84-97c2-50797334671f"/>
    <xsd:import namespace="f0c4c64f-a1ef-4b44-a1a6-f3850430522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7f8a45-9c89-4d84-97c2-5079733467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09c852b-a385-4cfa-b090-6c29117d24cd"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BillingMetadata" ma:index="1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0c4c64f-a1ef-4b44-a1a6-f38504305229"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e4d4fbd-7f7a-4042-b0b0-cac2751c1efe}" ma:internalName="TaxCatchAll" ma:showField="CatchAllData" ma:web="f0c4c64f-a1ef-4b44-a1a6-f385043052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e7f8a45-9c89-4d84-97c2-50797334671f">
      <Terms xmlns="http://schemas.microsoft.com/office/infopath/2007/PartnerControls"/>
    </lcf76f155ced4ddcb4097134ff3c332f>
    <TaxCatchAll xmlns="f0c4c64f-a1ef-4b44-a1a6-f38504305229"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35B8758-1E4A-4FEB-961D-0311DCF7B1C2}"/>
</file>

<file path=customXml/itemProps3.xml><?xml version="1.0" encoding="utf-8"?>
<ds:datastoreItem xmlns:ds="http://schemas.openxmlformats.org/officeDocument/2006/customXml" ds:itemID="{11CA6154-4EF8-4A66-B235-CF56DAB2F37A}"/>
</file>

<file path=customXml/itemProps4.xml><?xml version="1.0" encoding="utf-8"?>
<ds:datastoreItem xmlns:ds="http://schemas.openxmlformats.org/officeDocument/2006/customXml" ds:itemID="{0289FDFF-263F-4196-A385-C616287EBFB2}"/>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Lydiah Nyawira</dc:creator>
  <cp:lastModifiedBy>Nyaguthii Nyoro</cp:lastModifiedBy>
  <cp:revision>3</cp:revision>
  <dcterms:created xsi:type="dcterms:W3CDTF">2025-10-21T09:59:00Z</dcterms:created>
  <dcterms:modified xsi:type="dcterms:W3CDTF">2025-10-22T06:46:06Z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2c0a0075-8d7d-4aca-8ac9-7f3010330f55</vt:lpwstr>
  </property>
  <property fmtid="{D5CDD505-2E9C-101B-9397-08002B2CF9AE}" pid="3" name="ContentTypeId">
    <vt:lpwstr>0x0101005B7FCA1B65AD174BBEBEB627AA7FAE2A</vt:lpwstr>
  </property>
</Properties>
</file>